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440F4" w14:textId="2C1CA830" w:rsidR="00811268" w:rsidRPr="0052548E" w:rsidRDefault="00341992" w:rsidP="00811268">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 xml:space="preserve">3GPP TSG RAN </w:t>
      </w:r>
      <w:r w:rsidR="00292728">
        <w:rPr>
          <w:rFonts w:ascii="Arial" w:hAnsi="Arial" w:cs="Arial"/>
          <w:b/>
          <w:bCs/>
          <w:sz w:val="28"/>
        </w:rPr>
        <w:t>#</w:t>
      </w:r>
      <w:r>
        <w:rPr>
          <w:rFonts w:ascii="Arial" w:hAnsi="Arial" w:cs="Arial" w:hint="eastAsia"/>
          <w:b/>
          <w:bCs/>
          <w:sz w:val="28"/>
        </w:rPr>
        <w:t>8</w:t>
      </w:r>
      <w:r w:rsidR="00D01FB9">
        <w:rPr>
          <w:rFonts w:ascii="Arial" w:hAnsi="Arial" w:cs="Arial"/>
          <w:b/>
          <w:bCs/>
          <w:sz w:val="28"/>
        </w:rPr>
        <w:t>8</w:t>
      </w:r>
      <w:r w:rsidR="00292728">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RP</w:t>
      </w:r>
      <w:r w:rsidR="00577BB5">
        <w:rPr>
          <w:rFonts w:ascii="Arial" w:hAnsi="Arial" w:cs="Arial"/>
          <w:b/>
          <w:bCs/>
          <w:sz w:val="28"/>
        </w:rPr>
        <w:t>-20</w:t>
      </w:r>
      <w:r w:rsidR="006C6FFB">
        <w:rPr>
          <w:rFonts w:ascii="Arial" w:hAnsi="Arial" w:cs="Arial"/>
          <w:b/>
          <w:bCs/>
          <w:sz w:val="28"/>
        </w:rPr>
        <w:t>0883</w:t>
      </w:r>
    </w:p>
    <w:p w14:paraId="0B31F29E" w14:textId="2E99DCB7" w:rsidR="008A34D9" w:rsidRDefault="00D01FB9" w:rsidP="001640AD">
      <w:pPr>
        <w:pStyle w:val="a6"/>
        <w:ind w:left="1800" w:hanging="1800"/>
        <w:rPr>
          <w:rFonts w:cs="Arial"/>
          <w:bCs/>
          <w:noProof w:val="0"/>
          <w:sz w:val="28"/>
          <w:lang w:eastAsia="ja-JP"/>
        </w:rPr>
      </w:pPr>
      <w:r>
        <w:rPr>
          <w:rFonts w:cs="Arial"/>
          <w:bCs/>
          <w:noProof w:val="0"/>
          <w:sz w:val="28"/>
          <w:lang w:eastAsia="ja-JP"/>
        </w:rPr>
        <w:t>El</w:t>
      </w:r>
      <w:r w:rsidR="00511EA3">
        <w:rPr>
          <w:rFonts w:cs="Arial"/>
          <w:bCs/>
          <w:noProof w:val="0"/>
          <w:sz w:val="28"/>
          <w:lang w:eastAsia="ja-JP"/>
        </w:rPr>
        <w:t>e</w:t>
      </w:r>
      <w:r>
        <w:rPr>
          <w:rFonts w:cs="Arial"/>
          <w:bCs/>
          <w:noProof w:val="0"/>
          <w:sz w:val="28"/>
          <w:lang w:eastAsia="ja-JP"/>
        </w:rPr>
        <w:t xml:space="preserve">ctronic </w:t>
      </w:r>
      <w:r w:rsidR="00511EA3">
        <w:rPr>
          <w:rFonts w:cs="Arial"/>
          <w:bCs/>
          <w:noProof w:val="0"/>
          <w:sz w:val="28"/>
          <w:lang w:eastAsia="ja-JP"/>
        </w:rPr>
        <w:t xml:space="preserve">Meeting, </w:t>
      </w:r>
      <w:r>
        <w:rPr>
          <w:rFonts w:cs="Arial"/>
          <w:bCs/>
          <w:noProof w:val="0"/>
          <w:sz w:val="28"/>
          <w:lang w:eastAsia="ja-JP"/>
        </w:rPr>
        <w:t>June</w:t>
      </w:r>
      <w:r w:rsidR="00511EA3">
        <w:rPr>
          <w:rFonts w:cs="Arial"/>
          <w:bCs/>
          <w:noProof w:val="0"/>
          <w:sz w:val="28"/>
          <w:lang w:eastAsia="ja-JP"/>
        </w:rPr>
        <w:t xml:space="preserve"> </w:t>
      </w:r>
      <w:r>
        <w:rPr>
          <w:rFonts w:cs="Arial"/>
          <w:bCs/>
          <w:noProof w:val="0"/>
          <w:sz w:val="28"/>
          <w:lang w:eastAsia="ja-JP"/>
        </w:rPr>
        <w:t>29</w:t>
      </w:r>
      <w:r w:rsidR="00511EA3">
        <w:rPr>
          <w:rFonts w:cs="Arial"/>
          <w:bCs/>
          <w:noProof w:val="0"/>
          <w:sz w:val="28"/>
          <w:lang w:eastAsia="ja-JP"/>
        </w:rPr>
        <w:t xml:space="preserve"> – </w:t>
      </w:r>
      <w:r>
        <w:rPr>
          <w:rFonts w:cs="Arial"/>
          <w:bCs/>
          <w:noProof w:val="0"/>
          <w:sz w:val="28"/>
          <w:lang w:eastAsia="ja-JP"/>
        </w:rPr>
        <w:t>July 3</w:t>
      </w:r>
      <w:r w:rsidR="00292728" w:rsidRPr="00292728">
        <w:rPr>
          <w:rFonts w:cs="Arial"/>
          <w:bCs/>
          <w:noProof w:val="0"/>
          <w:sz w:val="28"/>
          <w:lang w:eastAsia="ja-JP"/>
        </w:rPr>
        <w:t>, 2020</w:t>
      </w:r>
    </w:p>
    <w:p w14:paraId="1F022CF3" w14:textId="77777777" w:rsidR="00292728" w:rsidRPr="00292728" w:rsidRDefault="00292728" w:rsidP="001640AD">
      <w:pPr>
        <w:pStyle w:val="a6"/>
        <w:ind w:left="1800" w:hanging="1800"/>
        <w:rPr>
          <w:rFonts w:eastAsia="MS Gothic"/>
          <w:noProof w:val="0"/>
          <w:sz w:val="24"/>
          <w:lang w:eastAsia="ja-JP"/>
        </w:rPr>
      </w:pPr>
    </w:p>
    <w:p w14:paraId="16354F5F" w14:textId="460A7D71" w:rsidR="001640AD" w:rsidRPr="00034B54" w:rsidRDefault="001640AD" w:rsidP="001640AD">
      <w:pPr>
        <w:pStyle w:val="a6"/>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r>
      <w:r w:rsidR="00D01FB9">
        <w:rPr>
          <w:rFonts w:eastAsia="MS Gothic"/>
          <w:noProof w:val="0"/>
          <w:sz w:val="24"/>
        </w:rPr>
        <w:t>KT Corp</w:t>
      </w:r>
      <w:r w:rsidRPr="00034B54">
        <w:rPr>
          <w:rFonts w:eastAsia="MS Gothic" w:hint="eastAsia"/>
          <w:noProof w:val="0"/>
          <w:sz w:val="24"/>
          <w:lang w:eastAsia="ja-JP"/>
        </w:rPr>
        <w:t>.</w:t>
      </w:r>
    </w:p>
    <w:p w14:paraId="1632BD4A" w14:textId="54764176"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D01FB9">
        <w:rPr>
          <w:sz w:val="24"/>
          <w:lang w:val="en-US"/>
        </w:rPr>
        <w:t>Handling mandatory features without capability signalling for Release-15</w:t>
      </w:r>
    </w:p>
    <w:p w14:paraId="33948831" w14:textId="1AEF40E0"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341992">
        <w:rPr>
          <w:rFonts w:hint="eastAsia"/>
          <w:sz w:val="24"/>
          <w:lang w:val="en-US" w:eastAsia="ja-JP"/>
        </w:rPr>
        <w:t>9.</w:t>
      </w:r>
      <w:r w:rsidR="00D01FB9">
        <w:rPr>
          <w:sz w:val="24"/>
          <w:lang w:val="en-US" w:eastAsia="ja-JP"/>
        </w:rPr>
        <w:t>12</w:t>
      </w:r>
    </w:p>
    <w:p w14:paraId="64397E24" w14:textId="1566B1C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D01FB9">
        <w:rPr>
          <w:rFonts w:ascii="Arial" w:hAnsi="Arial"/>
          <w:b/>
          <w:lang w:val="en-US"/>
        </w:rPr>
        <w:t>Discussion</w:t>
      </w:r>
      <w:r w:rsidR="00FF79D4">
        <w:rPr>
          <w:rFonts w:ascii="Arial" w:hAnsi="Arial"/>
          <w:b/>
          <w:lang w:val="en-US"/>
        </w:rPr>
        <w:t>/Decision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471A9A64" w14:textId="52F69394" w:rsidR="00D01FB9" w:rsidRDefault="00D01FB9" w:rsidP="00D01FB9">
      <w:pPr>
        <w:spacing w:afterLines="50" w:after="120"/>
        <w:ind w:firstLineChars="50" w:firstLine="110"/>
        <w:jc w:val="both"/>
        <w:rPr>
          <w:rFonts w:eastAsia="MS Mincho"/>
          <w:sz w:val="22"/>
          <w:szCs w:val="22"/>
          <w:lang w:val="en-US"/>
        </w:rPr>
      </w:pPr>
      <w:r>
        <w:rPr>
          <w:rFonts w:eastAsia="MS Mincho"/>
          <w:sz w:val="22"/>
          <w:szCs w:val="22"/>
          <w:lang w:val="en-US"/>
        </w:rPr>
        <w:t>Mandatory features without capability signaling for Release-15 has been discussed during the last plenary without reaching consensus</w:t>
      </w:r>
      <w:r w:rsidR="00352291">
        <w:rPr>
          <w:rFonts w:eastAsia="MS Mincho"/>
          <w:sz w:val="22"/>
          <w:szCs w:val="22"/>
          <w:lang w:val="en-US"/>
        </w:rPr>
        <w:t xml:space="preserve"> [1]</w:t>
      </w:r>
      <w:r>
        <w:rPr>
          <w:rFonts w:eastAsia="MS Mincho"/>
          <w:sz w:val="22"/>
          <w:szCs w:val="22"/>
          <w:lang w:val="en-US"/>
        </w:rPr>
        <w:t>. Still UE features which are mandatory without capability signaling is only captured in TR 38.822. Some concerns had been raised especially for feature group 2-32 where some members suggested to capture this information in TS 38.306.</w:t>
      </w:r>
    </w:p>
    <w:p w14:paraId="3C515E84" w14:textId="7C80200C" w:rsidR="00A218AF" w:rsidRPr="00762925" w:rsidRDefault="00A218AF" w:rsidP="00A91D01">
      <w:pPr>
        <w:spacing w:afterLines="50" w:after="120"/>
        <w:jc w:val="both"/>
        <w:rPr>
          <w:sz w:val="22"/>
          <w:lang w:val="en-US"/>
        </w:rPr>
      </w:pPr>
    </w:p>
    <w:p w14:paraId="5ABA9418" w14:textId="78C0F47D" w:rsidR="00A91442" w:rsidRPr="009517C5" w:rsidRDefault="00762925" w:rsidP="00A91442">
      <w:pPr>
        <w:pStyle w:val="1"/>
        <w:numPr>
          <w:ilvl w:val="0"/>
          <w:numId w:val="4"/>
        </w:numPr>
        <w:spacing w:before="180" w:after="120"/>
        <w:rPr>
          <w:rFonts w:eastAsia="MS Mincho"/>
          <w:b/>
          <w:bCs/>
          <w:szCs w:val="24"/>
          <w:lang w:val="en-US"/>
        </w:rPr>
      </w:pPr>
      <w:r>
        <w:rPr>
          <w:rFonts w:eastAsia="MS Mincho"/>
          <w:b/>
          <w:bCs/>
          <w:szCs w:val="24"/>
          <w:lang w:val="en-US"/>
        </w:rPr>
        <w:t>Discussi</w:t>
      </w:r>
      <w:r w:rsidR="00A91442">
        <w:rPr>
          <w:rFonts w:eastAsia="MS Mincho"/>
          <w:b/>
          <w:bCs/>
          <w:szCs w:val="24"/>
          <w:lang w:val="en-US"/>
        </w:rPr>
        <w:t>on</w:t>
      </w:r>
    </w:p>
    <w:p w14:paraId="22BC6954" w14:textId="604043C6" w:rsidR="00425D82" w:rsidRDefault="00FF79D4" w:rsidP="00425D82">
      <w:pPr>
        <w:spacing w:afterLines="50" w:after="120"/>
        <w:jc w:val="both"/>
        <w:rPr>
          <w:lang w:eastAsia="x-none"/>
        </w:rPr>
      </w:pPr>
      <w:r>
        <w:rPr>
          <w:sz w:val="22"/>
          <w:lang w:val="en-US"/>
        </w:rPr>
        <w:t xml:space="preserve">Most of the UE feature without capability signaling seems obvious that these features are supported as default for NR network. However, still there are some ambiguity exists for the specification readers </w:t>
      </w:r>
      <w:r w:rsidR="00425D82">
        <w:rPr>
          <w:sz w:val="22"/>
          <w:lang w:val="en-US"/>
        </w:rPr>
        <w:t>for some UE features and we propose to include all mandatory without capability signaling features into Annex A.3 of TS 38.306. We have listed UE features for mandatory without capability signaling in Annex for information.</w:t>
      </w:r>
    </w:p>
    <w:p w14:paraId="7DCF7DD6" w14:textId="2F7EA583" w:rsidR="00447F2A" w:rsidRPr="00425D82" w:rsidRDefault="00425D82" w:rsidP="009868DF">
      <w:pPr>
        <w:spacing w:afterLines="50" w:after="120"/>
        <w:jc w:val="both"/>
        <w:rPr>
          <w:rFonts w:eastAsia="맑은 고딕"/>
          <w:b/>
          <w:i/>
          <w:lang w:eastAsia="ko-KR"/>
        </w:rPr>
      </w:pPr>
      <w:r w:rsidRPr="00425D82">
        <w:rPr>
          <w:rFonts w:eastAsia="맑은 고딕" w:hint="eastAsia"/>
          <w:b/>
          <w:i/>
          <w:lang w:eastAsia="ko-KR"/>
        </w:rPr>
        <w:t xml:space="preserve">Proposal: Include list of UE feature of </w:t>
      </w:r>
      <w:r w:rsidRPr="00425D82">
        <w:rPr>
          <w:rFonts w:eastAsia="맑은 고딕"/>
          <w:b/>
          <w:i/>
          <w:lang w:eastAsia="ko-KR"/>
        </w:rPr>
        <w:t>mandatory without capability signalling into Annex A.3 of TS 38.306</w:t>
      </w:r>
    </w:p>
    <w:p w14:paraId="28A06EC1" w14:textId="77777777" w:rsidR="00425D82" w:rsidRPr="00425D82" w:rsidRDefault="00425D82" w:rsidP="00A91D01">
      <w:pPr>
        <w:spacing w:afterLines="50" w:after="120"/>
        <w:jc w:val="both"/>
        <w:rPr>
          <w:sz w:val="22"/>
        </w:rPr>
      </w:pPr>
    </w:p>
    <w:p w14:paraId="0F0E17BC" w14:textId="77777777" w:rsidR="00341992" w:rsidRPr="009C5BDC" w:rsidRDefault="00341992" w:rsidP="00A91D01">
      <w:pPr>
        <w:spacing w:afterLines="50" w:after="120"/>
        <w:jc w:val="both"/>
        <w:rPr>
          <w:sz w:val="22"/>
        </w:rPr>
      </w:pPr>
    </w:p>
    <w:p w14:paraId="661D1EF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2F7A39FD" w14:textId="1A8A2661" w:rsidR="00341992" w:rsidRPr="00341992" w:rsidRDefault="006C70F2" w:rsidP="00341992">
      <w:pPr>
        <w:spacing w:afterLines="50" w:after="120"/>
        <w:jc w:val="both"/>
        <w:rPr>
          <w:rFonts w:eastAsia="MS Mincho"/>
          <w:sz w:val="22"/>
        </w:rPr>
      </w:pPr>
      <w:r>
        <w:rPr>
          <w:rFonts w:eastAsia="MS Mincho"/>
          <w:sz w:val="22"/>
        </w:rPr>
        <w:t>[1]</w:t>
      </w:r>
      <w:r>
        <w:rPr>
          <w:rFonts w:eastAsia="MS Mincho"/>
          <w:sz w:val="22"/>
        </w:rPr>
        <w:tab/>
      </w:r>
      <w:r w:rsidR="00341992" w:rsidRPr="00341992">
        <w:rPr>
          <w:rFonts w:eastAsia="MS Mincho"/>
          <w:sz w:val="22"/>
        </w:rPr>
        <w:t>RP-200</w:t>
      </w:r>
      <w:r w:rsidR="00352291">
        <w:rPr>
          <w:rFonts w:eastAsia="MS Mincho"/>
          <w:sz w:val="22"/>
        </w:rPr>
        <w:t>515</w:t>
      </w:r>
      <w:r w:rsidR="00341992" w:rsidRPr="00341992">
        <w:rPr>
          <w:rFonts w:eastAsia="MS Mincho"/>
          <w:sz w:val="22"/>
        </w:rPr>
        <w:tab/>
      </w:r>
      <w:r w:rsidR="00352291">
        <w:rPr>
          <w:rFonts w:eastAsia="MS Mincho"/>
          <w:sz w:val="22"/>
        </w:rPr>
        <w:t xml:space="preserve">On mandatory features without capability signalling and number of antenna ports </w:t>
      </w:r>
      <w:r w:rsidR="00341992" w:rsidRPr="00341992">
        <w:rPr>
          <w:rFonts w:eastAsia="MS Mincho"/>
          <w:sz w:val="22"/>
        </w:rPr>
        <w:tab/>
      </w:r>
      <w:r w:rsidR="00352291">
        <w:rPr>
          <w:rFonts w:eastAsia="MS Mincho"/>
          <w:sz w:val="22"/>
        </w:rPr>
        <w:t>Orange</w:t>
      </w:r>
    </w:p>
    <w:p w14:paraId="6940BC74" w14:textId="2779D335" w:rsidR="006C70F2" w:rsidRDefault="00341992" w:rsidP="00341992">
      <w:pPr>
        <w:spacing w:afterLines="50" w:after="120"/>
        <w:jc w:val="both"/>
        <w:rPr>
          <w:rFonts w:eastAsia="MS Mincho"/>
          <w:sz w:val="22"/>
        </w:rPr>
      </w:pPr>
      <w:r>
        <w:rPr>
          <w:rFonts w:eastAsia="MS Mincho"/>
          <w:sz w:val="22"/>
        </w:rPr>
        <w:t>[2]</w:t>
      </w:r>
      <w:r>
        <w:rPr>
          <w:rFonts w:eastAsia="MS Mincho"/>
          <w:sz w:val="22"/>
        </w:rPr>
        <w:tab/>
      </w:r>
      <w:r w:rsidRPr="00341992">
        <w:rPr>
          <w:rFonts w:eastAsia="MS Mincho"/>
          <w:sz w:val="22"/>
        </w:rPr>
        <w:t>RP-2002</w:t>
      </w:r>
      <w:r w:rsidR="00352291">
        <w:rPr>
          <w:rFonts w:eastAsia="MS Mincho"/>
          <w:sz w:val="22"/>
        </w:rPr>
        <w:t>89</w:t>
      </w:r>
      <w:r w:rsidRPr="00341992">
        <w:rPr>
          <w:rFonts w:eastAsia="MS Mincho"/>
          <w:sz w:val="22"/>
        </w:rPr>
        <w:tab/>
      </w:r>
      <w:r w:rsidR="00352291">
        <w:rPr>
          <w:rFonts w:eastAsia="MS Mincho"/>
          <w:sz w:val="22"/>
        </w:rPr>
        <w:t>Mapping of Rel-15 features to TS 38.306</w:t>
      </w:r>
      <w:r w:rsidRPr="00341992">
        <w:rPr>
          <w:rFonts w:eastAsia="MS Mincho"/>
          <w:sz w:val="22"/>
        </w:rPr>
        <w:tab/>
      </w:r>
      <w:r w:rsidR="00352291">
        <w:rPr>
          <w:rFonts w:eastAsia="MS Mincho"/>
          <w:sz w:val="22"/>
        </w:rPr>
        <w:t>Nokia, Nokia Shanghai Bell</w:t>
      </w:r>
    </w:p>
    <w:p w14:paraId="312749BE" w14:textId="31B9E8F8" w:rsidR="0089070B" w:rsidRDefault="0089070B" w:rsidP="00341992">
      <w:pPr>
        <w:spacing w:afterLines="50" w:after="120"/>
        <w:jc w:val="both"/>
        <w:rPr>
          <w:rFonts w:eastAsia="MS Mincho"/>
          <w:sz w:val="22"/>
        </w:rPr>
      </w:pPr>
      <w:r>
        <w:rPr>
          <w:rFonts w:eastAsia="MS Mincho"/>
          <w:sz w:val="22"/>
        </w:rPr>
        <w:t>[3]</w:t>
      </w:r>
      <w:r>
        <w:rPr>
          <w:rFonts w:eastAsia="MS Mincho"/>
          <w:sz w:val="22"/>
        </w:rPr>
        <w:tab/>
        <w:t>R1-1907862</w:t>
      </w:r>
      <w:r>
        <w:rPr>
          <w:rFonts w:eastAsia="MS Mincho"/>
          <w:sz w:val="22"/>
        </w:rPr>
        <w:tab/>
        <w:t>RAN1 NR UE features</w:t>
      </w:r>
    </w:p>
    <w:p w14:paraId="2FAEFBB4" w14:textId="79F1BEBB" w:rsidR="0089070B" w:rsidRDefault="0089070B" w:rsidP="00341992">
      <w:pPr>
        <w:spacing w:afterLines="50" w:after="120"/>
        <w:jc w:val="both"/>
        <w:rPr>
          <w:rFonts w:eastAsia="MS Mincho"/>
          <w:sz w:val="22"/>
        </w:rPr>
      </w:pPr>
      <w:r>
        <w:rPr>
          <w:rFonts w:eastAsia="MS Mincho"/>
          <w:sz w:val="22"/>
        </w:rPr>
        <w:t>[4]</w:t>
      </w:r>
      <w:r>
        <w:rPr>
          <w:rFonts w:eastAsia="MS Mincho"/>
          <w:sz w:val="22"/>
        </w:rPr>
        <w:tab/>
        <w:t>3GPP TS 38.331 “NR: Radio Resource Control (RRC) protocol specification”.</w:t>
      </w:r>
    </w:p>
    <w:p w14:paraId="6465403E" w14:textId="1B5E784C" w:rsidR="0089070B" w:rsidRDefault="0089070B" w:rsidP="00341992">
      <w:pPr>
        <w:spacing w:afterLines="50" w:after="120"/>
        <w:jc w:val="both"/>
        <w:rPr>
          <w:rFonts w:eastAsia="MS Mincho"/>
          <w:sz w:val="22"/>
        </w:rPr>
      </w:pPr>
      <w:r>
        <w:rPr>
          <w:rFonts w:eastAsia="MS Mincho"/>
          <w:sz w:val="22"/>
        </w:rPr>
        <w:t>[5]</w:t>
      </w:r>
      <w:r>
        <w:rPr>
          <w:rFonts w:eastAsia="MS Mincho"/>
          <w:sz w:val="22"/>
        </w:rPr>
        <w:tab/>
        <w:t>R2-1906665</w:t>
      </w:r>
      <w:r>
        <w:rPr>
          <w:rFonts w:eastAsia="MS Mincho"/>
          <w:sz w:val="22"/>
        </w:rPr>
        <w:tab/>
        <w:t>Update of L2/L3 feature lists</w:t>
      </w:r>
    </w:p>
    <w:p w14:paraId="25BE0348" w14:textId="05909E4D" w:rsidR="006618C0" w:rsidRDefault="006618C0" w:rsidP="00341992">
      <w:pPr>
        <w:spacing w:afterLines="50" w:after="120"/>
        <w:jc w:val="both"/>
        <w:rPr>
          <w:rFonts w:eastAsia="MS Mincho"/>
          <w:sz w:val="22"/>
        </w:rPr>
      </w:pPr>
      <w:r>
        <w:rPr>
          <w:rFonts w:eastAsia="MS Mincho"/>
          <w:sz w:val="22"/>
        </w:rPr>
        <w:t>[6]</w:t>
      </w:r>
      <w:r>
        <w:rPr>
          <w:rFonts w:eastAsia="MS Mincho"/>
          <w:sz w:val="22"/>
        </w:rPr>
        <w:tab/>
        <w:t>R4-1907593</w:t>
      </w:r>
      <w:r>
        <w:rPr>
          <w:rFonts w:eastAsia="MS Mincho"/>
          <w:sz w:val="22"/>
        </w:rPr>
        <w:tab/>
        <w:t>RAN4 NR UE features</w:t>
      </w:r>
    </w:p>
    <w:p w14:paraId="1AC478C8" w14:textId="77777777" w:rsidR="00E60A9C" w:rsidRDefault="00E60A9C" w:rsidP="00341992">
      <w:pPr>
        <w:spacing w:afterLines="50" w:after="120"/>
        <w:jc w:val="both"/>
        <w:rPr>
          <w:rFonts w:eastAsia="MS Mincho"/>
          <w:sz w:val="22"/>
        </w:rPr>
      </w:pPr>
    </w:p>
    <w:p w14:paraId="55DB29E7" w14:textId="77777777" w:rsidR="00E60A9C" w:rsidRDefault="00E60A9C" w:rsidP="00341992">
      <w:pPr>
        <w:spacing w:afterLines="50" w:after="120"/>
        <w:jc w:val="both"/>
        <w:rPr>
          <w:rFonts w:eastAsia="MS Mincho"/>
          <w:sz w:val="22"/>
        </w:rPr>
        <w:sectPr w:rsidR="00E60A9C" w:rsidSect="00A01954">
          <w:footerReference w:type="default" r:id="rId11"/>
          <w:pgSz w:w="12240" w:h="15840" w:code="1"/>
          <w:pgMar w:top="851" w:right="1134" w:bottom="567" w:left="1134" w:header="720" w:footer="720" w:gutter="0"/>
          <w:cols w:space="720"/>
          <w:docGrid w:linePitch="326"/>
        </w:sectPr>
      </w:pPr>
      <w:r>
        <w:rPr>
          <w:rFonts w:eastAsia="MS Mincho"/>
          <w:sz w:val="22"/>
        </w:rPr>
        <w:br w:type="page"/>
      </w:r>
    </w:p>
    <w:p w14:paraId="545ED39E" w14:textId="4A4BB7E8" w:rsidR="00E60A9C" w:rsidRDefault="00E60A9C" w:rsidP="00341992">
      <w:pPr>
        <w:spacing w:afterLines="50" w:after="120"/>
        <w:jc w:val="both"/>
        <w:rPr>
          <w:rFonts w:eastAsia="MS Mincho"/>
          <w:sz w:val="22"/>
        </w:rPr>
      </w:pPr>
      <w:r>
        <w:rPr>
          <w:rFonts w:eastAsia="MS Mincho"/>
          <w:sz w:val="22"/>
        </w:rPr>
        <w:lastRenderedPageBreak/>
        <w:t>Annex. List of UE feature on mandatory without capability signalling</w:t>
      </w:r>
    </w:p>
    <w:p w14:paraId="7D44FC60" w14:textId="77777777" w:rsidR="00E60A9C" w:rsidRPr="00E60A9C" w:rsidRDefault="00E60A9C" w:rsidP="00E60A9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rPr>
      </w:pPr>
      <w:r w:rsidRPr="00E60A9C">
        <w:rPr>
          <w:rFonts w:ascii="Arial" w:eastAsia="Times New Roman" w:hAnsi="Arial"/>
          <w:sz w:val="36"/>
        </w:rPr>
        <w:t>Release 15 UE feature list</w:t>
      </w:r>
    </w:p>
    <w:p w14:paraId="5A92F9B7" w14:textId="6A704584" w:rsidR="00E60A9C" w:rsidRPr="00E60A9C" w:rsidRDefault="0089070B" w:rsidP="003C3B7A">
      <w:pPr>
        <w:pStyle w:val="2"/>
        <w:keepLines/>
        <w:overflowPunct w:val="0"/>
        <w:autoSpaceDE w:val="0"/>
        <w:autoSpaceDN w:val="0"/>
        <w:adjustRightInd w:val="0"/>
        <w:spacing w:before="180" w:after="180" w:line="240" w:lineRule="auto"/>
        <w:ind w:left="1134" w:hanging="1134"/>
        <w:textAlignment w:val="baseline"/>
        <w:rPr>
          <w:rFonts w:eastAsia="Times New Roman"/>
          <w:sz w:val="32"/>
        </w:rPr>
      </w:pPr>
      <w:bookmarkStart w:id="3" w:name="_Toc12574265"/>
      <w:r>
        <w:rPr>
          <w:rFonts w:eastAsia="Times New Roman"/>
          <w:sz w:val="32"/>
        </w:rPr>
        <w:t>A</w:t>
      </w:r>
      <w:r w:rsidR="00E60A9C" w:rsidRPr="00E60A9C">
        <w:rPr>
          <w:rFonts w:eastAsia="Times New Roman"/>
          <w:sz w:val="32"/>
        </w:rPr>
        <w:t>.1</w:t>
      </w:r>
      <w:r w:rsidR="00E60A9C" w:rsidRPr="00E60A9C">
        <w:rPr>
          <w:rFonts w:eastAsia="Times New Roman"/>
          <w:sz w:val="32"/>
        </w:rPr>
        <w:tab/>
        <w:t>Layer-1 UE features</w:t>
      </w:r>
      <w:bookmarkEnd w:id="3"/>
    </w:p>
    <w:p w14:paraId="5382D1A6" w14:textId="483B8D77" w:rsidR="00E60A9C" w:rsidRPr="00E60A9C" w:rsidRDefault="00E60A9C" w:rsidP="00E60A9C">
      <w:pPr>
        <w:overflowPunct w:val="0"/>
        <w:autoSpaceDE w:val="0"/>
        <w:autoSpaceDN w:val="0"/>
        <w:adjustRightInd w:val="0"/>
        <w:spacing w:after="180"/>
        <w:textAlignment w:val="baseline"/>
        <w:rPr>
          <w:rFonts w:eastAsia="Times New Roman"/>
          <w:sz w:val="20"/>
        </w:rPr>
      </w:pPr>
      <w:r w:rsidRPr="00E60A9C">
        <w:rPr>
          <w:rFonts w:eastAsia="Times New Roman"/>
          <w:sz w:val="20"/>
        </w:rPr>
        <w:t xml:space="preserve">Table </w:t>
      </w:r>
      <w:r w:rsidR="0089070B">
        <w:rPr>
          <w:rFonts w:eastAsia="Times New Roman"/>
          <w:sz w:val="20"/>
        </w:rPr>
        <w:t>A</w:t>
      </w:r>
      <w:r w:rsidRPr="00E60A9C">
        <w:rPr>
          <w:rFonts w:eastAsia="Times New Roman"/>
          <w:sz w:val="20"/>
        </w:rPr>
        <w:t>.1-1 provides the list of Layer-1 features, as shown in [3] and the corresponding UE capability field name, as specified in TS 38.331 [</w:t>
      </w:r>
      <w:r w:rsidR="0089070B">
        <w:rPr>
          <w:rFonts w:eastAsia="Times New Roman"/>
          <w:sz w:val="20"/>
        </w:rPr>
        <w:t>4</w:t>
      </w:r>
      <w:r w:rsidRPr="00E60A9C">
        <w:rPr>
          <w:rFonts w:eastAsia="Times New Roman"/>
          <w:sz w:val="20"/>
        </w:rPr>
        <w:t>].</w:t>
      </w:r>
    </w:p>
    <w:p w14:paraId="5CB1A3EC" w14:textId="0B899A1A" w:rsidR="00E60A9C" w:rsidRPr="003C3B7A" w:rsidRDefault="00E60A9C" w:rsidP="003C3B7A">
      <w:pPr>
        <w:pStyle w:val="TH"/>
        <w:overflowPunct w:val="0"/>
        <w:autoSpaceDE w:val="0"/>
        <w:autoSpaceDN w:val="0"/>
        <w:adjustRightInd w:val="0"/>
        <w:textAlignment w:val="baseline"/>
        <w:rPr>
          <w:rFonts w:eastAsia="Times New Roman"/>
          <w:sz w:val="20"/>
        </w:rPr>
      </w:pPr>
      <w:r w:rsidRPr="00E60A9C">
        <w:rPr>
          <w:rFonts w:eastAsia="Times New Roman"/>
          <w:sz w:val="20"/>
        </w:rPr>
        <w:t xml:space="preserve">Table </w:t>
      </w:r>
      <w:r w:rsidR="0089070B">
        <w:rPr>
          <w:rFonts w:eastAsia="Times New Roman"/>
          <w:sz w:val="20"/>
        </w:rPr>
        <w:t>A</w:t>
      </w:r>
      <w:r w:rsidRPr="00E60A9C">
        <w:rPr>
          <w:rFonts w:eastAsia="Times New Roman"/>
          <w:sz w:val="20"/>
        </w:rPr>
        <w:t>.1-1:</w:t>
      </w:r>
      <w:r w:rsidRPr="00E60A9C">
        <w:rPr>
          <w:rFonts w:eastAsia="Times New Roman"/>
          <w:sz w:val="20"/>
        </w:rPr>
        <w:tab/>
        <w:t>Layer-1 feature list</w:t>
      </w:r>
    </w:p>
    <w:tbl>
      <w:tblPr>
        <w:tblW w:w="0" w:type="auto"/>
        <w:tblLayout w:type="fixed"/>
        <w:tblLook w:val="04A0" w:firstRow="1" w:lastRow="0" w:firstColumn="1" w:lastColumn="0" w:noHBand="0" w:noVBand="1"/>
      </w:tblPr>
      <w:tblGrid>
        <w:gridCol w:w="1276"/>
        <w:gridCol w:w="851"/>
        <w:gridCol w:w="1550"/>
        <w:gridCol w:w="1532"/>
        <w:gridCol w:w="1187"/>
        <w:gridCol w:w="730"/>
        <w:gridCol w:w="1521"/>
        <w:gridCol w:w="1335"/>
        <w:gridCol w:w="1335"/>
        <w:gridCol w:w="1205"/>
        <w:gridCol w:w="1793"/>
      </w:tblGrid>
      <w:tr w:rsidR="00E60A9C" w:rsidRPr="00E60A9C" w14:paraId="64483D9A" w14:textId="77777777" w:rsidTr="003C3B7A">
        <w:tc>
          <w:tcPr>
            <w:tcW w:w="1276" w:type="dxa"/>
          </w:tcPr>
          <w:p w14:paraId="25EA6DAD" w14:textId="77777777" w:rsidR="00E60A9C" w:rsidRPr="003C3B7A" w:rsidRDefault="00E60A9C" w:rsidP="003C3B7A">
            <w:pPr>
              <w:pStyle w:val="TAH"/>
              <w:rPr>
                <w:lang w:eastAsia="ja-JP"/>
              </w:rPr>
            </w:pPr>
            <w:r w:rsidRPr="00E60A9C">
              <w:rPr>
                <w:lang w:eastAsia="ja-JP"/>
              </w:rPr>
              <w:t>Features</w:t>
            </w:r>
          </w:p>
        </w:tc>
        <w:tc>
          <w:tcPr>
            <w:tcW w:w="851" w:type="dxa"/>
          </w:tcPr>
          <w:p w14:paraId="2D7E50A1"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Index</w:t>
            </w:r>
          </w:p>
        </w:tc>
        <w:tc>
          <w:tcPr>
            <w:tcW w:w="1550" w:type="dxa"/>
          </w:tcPr>
          <w:p w14:paraId="61E7EE9A"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Feature group</w:t>
            </w:r>
          </w:p>
        </w:tc>
        <w:tc>
          <w:tcPr>
            <w:tcW w:w="1532" w:type="dxa"/>
          </w:tcPr>
          <w:p w14:paraId="19B97A0A"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Components</w:t>
            </w:r>
          </w:p>
        </w:tc>
        <w:tc>
          <w:tcPr>
            <w:tcW w:w="1187" w:type="dxa"/>
          </w:tcPr>
          <w:p w14:paraId="7B8BA147"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Prerequisite feature groups</w:t>
            </w:r>
          </w:p>
        </w:tc>
        <w:tc>
          <w:tcPr>
            <w:tcW w:w="730" w:type="dxa"/>
          </w:tcPr>
          <w:p w14:paraId="36B72438" w14:textId="5AE1B773" w:rsidR="00E60A9C" w:rsidRPr="00E60A9C" w:rsidRDefault="00E60A9C" w:rsidP="008B51D6">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Field name in TS 38.331 [</w:t>
            </w:r>
            <w:r w:rsidR="008B51D6">
              <w:rPr>
                <w:rFonts w:ascii="Arial" w:eastAsia="Times New Roman" w:hAnsi="Arial"/>
                <w:b/>
                <w:sz w:val="18"/>
              </w:rPr>
              <w:t>4</w:t>
            </w:r>
            <w:r w:rsidRPr="00E60A9C">
              <w:rPr>
                <w:rFonts w:ascii="Arial" w:eastAsia="Times New Roman" w:hAnsi="Arial"/>
                <w:b/>
                <w:sz w:val="18"/>
              </w:rPr>
              <w:t>]</w:t>
            </w:r>
          </w:p>
        </w:tc>
        <w:tc>
          <w:tcPr>
            <w:tcW w:w="1521" w:type="dxa"/>
          </w:tcPr>
          <w:p w14:paraId="2AF542E6" w14:textId="7691D767" w:rsidR="00E60A9C" w:rsidRPr="00E60A9C" w:rsidRDefault="00E60A9C" w:rsidP="008B51D6">
            <w:pPr>
              <w:keepNext/>
              <w:keepLines/>
              <w:overflowPunct w:val="0"/>
              <w:autoSpaceDE w:val="0"/>
              <w:autoSpaceDN w:val="0"/>
              <w:adjustRightInd w:val="0"/>
              <w:jc w:val="center"/>
              <w:textAlignment w:val="baseline"/>
              <w:rPr>
                <w:rFonts w:ascii="Arial" w:eastAsia="Times New Roman" w:hAnsi="Arial"/>
                <w:sz w:val="18"/>
              </w:rPr>
            </w:pPr>
            <w:r w:rsidRPr="0089070B">
              <w:rPr>
                <w:rFonts w:ascii="Arial" w:eastAsia="Times New Roman" w:hAnsi="Arial"/>
                <w:b/>
                <w:sz w:val="18"/>
              </w:rPr>
              <w:t>Parent IE in TS 38.331 [</w:t>
            </w:r>
            <w:r w:rsidR="008B51D6">
              <w:rPr>
                <w:rFonts w:ascii="Arial" w:eastAsia="Times New Roman" w:hAnsi="Arial"/>
                <w:b/>
                <w:sz w:val="18"/>
              </w:rPr>
              <w:t>4</w:t>
            </w:r>
            <w:r w:rsidRPr="0089070B">
              <w:rPr>
                <w:rFonts w:ascii="Arial" w:eastAsia="Times New Roman" w:hAnsi="Arial"/>
                <w:b/>
                <w:sz w:val="18"/>
              </w:rPr>
              <w:t>]</w:t>
            </w:r>
          </w:p>
        </w:tc>
        <w:tc>
          <w:tcPr>
            <w:tcW w:w="1335" w:type="dxa"/>
          </w:tcPr>
          <w:p w14:paraId="1E144122"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Need of FDD/TDD differentiation</w:t>
            </w:r>
          </w:p>
        </w:tc>
        <w:tc>
          <w:tcPr>
            <w:tcW w:w="1335" w:type="dxa"/>
          </w:tcPr>
          <w:p w14:paraId="0A136516"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Need of FR1/FR2 differentiation</w:t>
            </w:r>
          </w:p>
        </w:tc>
        <w:tc>
          <w:tcPr>
            <w:tcW w:w="1205" w:type="dxa"/>
          </w:tcPr>
          <w:p w14:paraId="2519A528"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Note</w:t>
            </w:r>
          </w:p>
        </w:tc>
        <w:tc>
          <w:tcPr>
            <w:tcW w:w="1793" w:type="dxa"/>
          </w:tcPr>
          <w:p w14:paraId="508BA186" w14:textId="77777777" w:rsidR="0089070B"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Mandatory/</w:t>
            </w:r>
          </w:p>
          <w:p w14:paraId="63E1B0CB" w14:textId="17C06740"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Optional</w:t>
            </w:r>
          </w:p>
        </w:tc>
      </w:tr>
      <w:tr w:rsidR="00E60A9C" w:rsidRPr="00E60A9C" w14:paraId="1DC93C47" w14:textId="77777777" w:rsidTr="003C3B7A">
        <w:tc>
          <w:tcPr>
            <w:tcW w:w="1276" w:type="dxa"/>
            <w:vMerge w:val="restart"/>
          </w:tcPr>
          <w:p w14:paraId="42701F5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0. Waveform, modulation, subcarrier spacings, and CP</w:t>
            </w:r>
          </w:p>
        </w:tc>
        <w:tc>
          <w:tcPr>
            <w:tcW w:w="851" w:type="dxa"/>
          </w:tcPr>
          <w:p w14:paraId="626E9FF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0-1</w:t>
            </w:r>
          </w:p>
        </w:tc>
        <w:tc>
          <w:tcPr>
            <w:tcW w:w="1550" w:type="dxa"/>
          </w:tcPr>
          <w:p w14:paraId="48FAFD3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CP-OFDM waveform for DL and UL</w:t>
            </w:r>
          </w:p>
        </w:tc>
        <w:tc>
          <w:tcPr>
            <w:tcW w:w="1532" w:type="dxa"/>
          </w:tcPr>
          <w:p w14:paraId="5FD16CA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CP-OFDM for DL</w:t>
            </w:r>
          </w:p>
          <w:p w14:paraId="0041AFD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CP -OFDM for UL</w:t>
            </w:r>
          </w:p>
        </w:tc>
        <w:tc>
          <w:tcPr>
            <w:tcW w:w="1187" w:type="dxa"/>
          </w:tcPr>
          <w:p w14:paraId="7304746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0CF3237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66A5229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682CCCD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19BAAFE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29FB881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31A18DC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5939F308" w14:textId="77777777" w:rsidTr="003C3B7A">
        <w:tc>
          <w:tcPr>
            <w:tcW w:w="1276" w:type="dxa"/>
            <w:vMerge/>
          </w:tcPr>
          <w:p w14:paraId="4C1A249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21FB9D6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0-2</w:t>
            </w:r>
          </w:p>
        </w:tc>
        <w:tc>
          <w:tcPr>
            <w:tcW w:w="1550" w:type="dxa"/>
          </w:tcPr>
          <w:p w14:paraId="4CD2A11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DFT-S-OFDM waveform for UL</w:t>
            </w:r>
          </w:p>
        </w:tc>
        <w:tc>
          <w:tcPr>
            <w:tcW w:w="1532" w:type="dxa"/>
          </w:tcPr>
          <w:p w14:paraId="477A779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Transform precoding for single-layer PUSCH</w:t>
            </w:r>
          </w:p>
        </w:tc>
        <w:tc>
          <w:tcPr>
            <w:tcW w:w="1187" w:type="dxa"/>
          </w:tcPr>
          <w:p w14:paraId="404B01A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188BFC3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4D570CC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1F9185A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2CC2532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35FDE5E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686A833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2A3FB512" w14:textId="77777777" w:rsidTr="003C3B7A">
        <w:tc>
          <w:tcPr>
            <w:tcW w:w="1276" w:type="dxa"/>
            <w:vMerge/>
          </w:tcPr>
          <w:p w14:paraId="1F2D705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2D3CA6A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0-3</w:t>
            </w:r>
          </w:p>
        </w:tc>
        <w:tc>
          <w:tcPr>
            <w:tcW w:w="1550" w:type="dxa"/>
          </w:tcPr>
          <w:p w14:paraId="0AD2531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DL modulation scheme</w:t>
            </w:r>
          </w:p>
        </w:tc>
        <w:tc>
          <w:tcPr>
            <w:tcW w:w="1532" w:type="dxa"/>
          </w:tcPr>
          <w:p w14:paraId="41C9C3C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QPSK modulation</w:t>
            </w:r>
          </w:p>
          <w:p w14:paraId="7468E59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16QAM modulation</w:t>
            </w:r>
          </w:p>
          <w:p w14:paraId="773C971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64QAM modulation for FR1</w:t>
            </w:r>
          </w:p>
        </w:tc>
        <w:tc>
          <w:tcPr>
            <w:tcW w:w="1187" w:type="dxa"/>
          </w:tcPr>
          <w:p w14:paraId="6A7D20E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5D6405C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613E5E2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30B0287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710C11B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7710D98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5C75B22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35FEF293" w14:textId="77777777" w:rsidTr="003C3B7A">
        <w:tc>
          <w:tcPr>
            <w:tcW w:w="1276" w:type="dxa"/>
            <w:vMerge/>
          </w:tcPr>
          <w:p w14:paraId="69122A8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78F6B00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0-4</w:t>
            </w:r>
          </w:p>
        </w:tc>
        <w:tc>
          <w:tcPr>
            <w:tcW w:w="1550" w:type="dxa"/>
          </w:tcPr>
          <w:p w14:paraId="2ACC93E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UL modulation scheme</w:t>
            </w:r>
          </w:p>
        </w:tc>
        <w:tc>
          <w:tcPr>
            <w:tcW w:w="1532" w:type="dxa"/>
          </w:tcPr>
          <w:p w14:paraId="0551D83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QPSK modulation</w:t>
            </w:r>
          </w:p>
          <w:p w14:paraId="2FE04F4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16QAM modulation</w:t>
            </w:r>
          </w:p>
        </w:tc>
        <w:tc>
          <w:tcPr>
            <w:tcW w:w="1187" w:type="dxa"/>
          </w:tcPr>
          <w:p w14:paraId="4B4F4C4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3C2F5EE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00585C2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58D2DE7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2CAC4BF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68EB7D2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2D2D180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2B283583" w14:textId="77777777" w:rsidTr="003C3B7A">
        <w:tc>
          <w:tcPr>
            <w:tcW w:w="1276" w:type="dxa"/>
          </w:tcPr>
          <w:p w14:paraId="10ACAFD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Initial access and mobility</w:t>
            </w:r>
          </w:p>
        </w:tc>
        <w:tc>
          <w:tcPr>
            <w:tcW w:w="851" w:type="dxa"/>
          </w:tcPr>
          <w:p w14:paraId="4BE1CA8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1-1</w:t>
            </w:r>
          </w:p>
        </w:tc>
        <w:tc>
          <w:tcPr>
            <w:tcW w:w="1550" w:type="dxa"/>
          </w:tcPr>
          <w:p w14:paraId="3023829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initial access channels and procedures</w:t>
            </w:r>
          </w:p>
        </w:tc>
        <w:tc>
          <w:tcPr>
            <w:tcW w:w="1532" w:type="dxa"/>
          </w:tcPr>
          <w:p w14:paraId="5D54F99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1) RACH preamble format </w:t>
            </w:r>
          </w:p>
          <w:p w14:paraId="1FF8454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2) SS block based RRM measurement </w:t>
            </w:r>
          </w:p>
          <w:p w14:paraId="1285FDA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Broadcast SIB reception including RMSI/OSI and paging</w:t>
            </w:r>
          </w:p>
        </w:tc>
        <w:tc>
          <w:tcPr>
            <w:tcW w:w="1187" w:type="dxa"/>
          </w:tcPr>
          <w:p w14:paraId="396088C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476BC1A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0BF05C6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1F160BF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335" w:type="dxa"/>
          </w:tcPr>
          <w:p w14:paraId="2BD5410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205" w:type="dxa"/>
          </w:tcPr>
          <w:p w14:paraId="2F2C2B3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Broadcast SIB reception including RMSI/OSI and paging are components of basic initial access channels and procedures for NR standalone and NE-DC</w:t>
            </w:r>
          </w:p>
        </w:tc>
        <w:tc>
          <w:tcPr>
            <w:tcW w:w="1793" w:type="dxa"/>
          </w:tcPr>
          <w:p w14:paraId="4C81D07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37C31FB3" w14:textId="77777777" w:rsidTr="003C3B7A">
        <w:tc>
          <w:tcPr>
            <w:tcW w:w="1276" w:type="dxa"/>
            <w:vMerge w:val="restart"/>
          </w:tcPr>
          <w:p w14:paraId="40999DD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MIMO</w:t>
            </w:r>
          </w:p>
        </w:tc>
        <w:tc>
          <w:tcPr>
            <w:tcW w:w="851" w:type="dxa"/>
          </w:tcPr>
          <w:p w14:paraId="6049CE6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2-1</w:t>
            </w:r>
          </w:p>
        </w:tc>
        <w:tc>
          <w:tcPr>
            <w:tcW w:w="1550" w:type="dxa"/>
          </w:tcPr>
          <w:p w14:paraId="0A7FF1D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PDSCH reception</w:t>
            </w:r>
          </w:p>
        </w:tc>
        <w:tc>
          <w:tcPr>
            <w:tcW w:w="1532" w:type="dxa"/>
          </w:tcPr>
          <w:p w14:paraId="696E070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Data RE mapping</w:t>
            </w:r>
          </w:p>
          <w:p w14:paraId="3D1027F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Single layer transmission</w:t>
            </w:r>
          </w:p>
          <w:p w14:paraId="2FD98D0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Support one TCI state</w:t>
            </w:r>
          </w:p>
        </w:tc>
        <w:tc>
          <w:tcPr>
            <w:tcW w:w="1187" w:type="dxa"/>
          </w:tcPr>
          <w:p w14:paraId="48038FF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4BB6FBC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45E6D81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43FCC46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5308237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7A44BFC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3A7F113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6B55B5D8" w14:textId="77777777" w:rsidTr="003C3B7A">
        <w:tc>
          <w:tcPr>
            <w:tcW w:w="1276" w:type="dxa"/>
            <w:vMerge/>
          </w:tcPr>
          <w:p w14:paraId="53A3F7E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54697B7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2-5</w:t>
            </w:r>
          </w:p>
        </w:tc>
        <w:tc>
          <w:tcPr>
            <w:tcW w:w="1550" w:type="dxa"/>
          </w:tcPr>
          <w:p w14:paraId="6DB30A7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downlink DMRS</w:t>
            </w:r>
          </w:p>
          <w:p w14:paraId="08A5E0A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for scheduling type A</w:t>
            </w:r>
          </w:p>
        </w:tc>
        <w:tc>
          <w:tcPr>
            <w:tcW w:w="1532" w:type="dxa"/>
          </w:tcPr>
          <w:p w14:paraId="5EA7797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1) Support 1 symbol FL DMRS without additional symbol(s)  </w:t>
            </w:r>
          </w:p>
          <w:p w14:paraId="59ECE46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2) Support 1 symbol FL DMRS and 1 additional DMRS symbol </w:t>
            </w:r>
          </w:p>
          <w:p w14:paraId="70028F5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Support 1 symbol FL DMRS and 2 additional DMRS symbols for at least one port.</w:t>
            </w:r>
          </w:p>
        </w:tc>
        <w:tc>
          <w:tcPr>
            <w:tcW w:w="1187" w:type="dxa"/>
          </w:tcPr>
          <w:p w14:paraId="2D41F39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2-1</w:t>
            </w:r>
          </w:p>
        </w:tc>
        <w:tc>
          <w:tcPr>
            <w:tcW w:w="730" w:type="dxa"/>
          </w:tcPr>
          <w:p w14:paraId="562AD2C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43E4FDD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42EB5AB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5A03824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53AADF2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conditioned to whether PDSCH scheduling type A is supported</w:t>
            </w:r>
          </w:p>
        </w:tc>
        <w:tc>
          <w:tcPr>
            <w:tcW w:w="1793" w:type="dxa"/>
          </w:tcPr>
          <w:p w14:paraId="5D3F957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 (condition to scheduling capability)</w:t>
            </w:r>
          </w:p>
        </w:tc>
      </w:tr>
      <w:tr w:rsidR="00E60A9C" w:rsidRPr="00E60A9C" w14:paraId="063EAD9A" w14:textId="77777777" w:rsidTr="003C3B7A">
        <w:tc>
          <w:tcPr>
            <w:tcW w:w="1276" w:type="dxa"/>
            <w:vMerge/>
          </w:tcPr>
          <w:p w14:paraId="522E017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49FB6F4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2-6</w:t>
            </w:r>
          </w:p>
        </w:tc>
        <w:tc>
          <w:tcPr>
            <w:tcW w:w="1550" w:type="dxa"/>
          </w:tcPr>
          <w:p w14:paraId="4DE8B4F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downlink DMRS</w:t>
            </w:r>
          </w:p>
          <w:p w14:paraId="7373F83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for scheduling type B</w:t>
            </w:r>
          </w:p>
        </w:tc>
        <w:tc>
          <w:tcPr>
            <w:tcW w:w="1532" w:type="dxa"/>
          </w:tcPr>
          <w:p w14:paraId="4307546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Support 1 symbol FL DMRS without additional symbol(s)</w:t>
            </w:r>
          </w:p>
          <w:p w14:paraId="0B3E43F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Support 1 symbol FL DMRS and 1 additional DMRS symbol</w:t>
            </w:r>
          </w:p>
        </w:tc>
        <w:tc>
          <w:tcPr>
            <w:tcW w:w="1187" w:type="dxa"/>
          </w:tcPr>
          <w:p w14:paraId="6EC161C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0BD1A28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04540F2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27D5E7F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542FD8C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4A9CF88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conditioned to whether PDSCH scheduling type B is supported</w:t>
            </w:r>
          </w:p>
        </w:tc>
        <w:tc>
          <w:tcPr>
            <w:tcW w:w="1793" w:type="dxa"/>
          </w:tcPr>
          <w:p w14:paraId="02F82F6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 (condition to scheduling capability)</w:t>
            </w:r>
          </w:p>
        </w:tc>
      </w:tr>
      <w:tr w:rsidR="00E60A9C" w:rsidRPr="00E60A9C" w14:paraId="091CDFEC" w14:textId="77777777" w:rsidTr="003C3B7A">
        <w:tc>
          <w:tcPr>
            <w:tcW w:w="1276" w:type="dxa"/>
            <w:vMerge/>
          </w:tcPr>
          <w:p w14:paraId="2D96AF1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08C89E8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2-12</w:t>
            </w:r>
          </w:p>
        </w:tc>
        <w:tc>
          <w:tcPr>
            <w:tcW w:w="1550" w:type="dxa"/>
          </w:tcPr>
          <w:p w14:paraId="13776C9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PUSCH transmission</w:t>
            </w:r>
          </w:p>
        </w:tc>
        <w:tc>
          <w:tcPr>
            <w:tcW w:w="1532" w:type="dxa"/>
          </w:tcPr>
          <w:p w14:paraId="678CB0A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Data RE mapping</w:t>
            </w:r>
          </w:p>
          <w:p w14:paraId="1B6110A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Single layer (single Tx) transmission </w:t>
            </w:r>
          </w:p>
          <w:p w14:paraId="75C8B81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Single port, single resource SRS transmission (SRS set use is configured as for codebook)</w:t>
            </w:r>
          </w:p>
        </w:tc>
        <w:tc>
          <w:tcPr>
            <w:tcW w:w="1187" w:type="dxa"/>
          </w:tcPr>
          <w:p w14:paraId="304A8FD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377CE3F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4D42C27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152C18F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57C78B1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1D308BE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Support of SRS set usage configured as for codebook does not imply UE support of codebook based PUSCH MIMO transmission.</w:t>
            </w:r>
          </w:p>
        </w:tc>
        <w:tc>
          <w:tcPr>
            <w:tcW w:w="1793" w:type="dxa"/>
          </w:tcPr>
          <w:p w14:paraId="6A74423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60E7B778" w14:textId="77777777" w:rsidTr="003C3B7A">
        <w:tc>
          <w:tcPr>
            <w:tcW w:w="1276" w:type="dxa"/>
            <w:vMerge/>
          </w:tcPr>
          <w:p w14:paraId="33C70D1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764E199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2-16</w:t>
            </w:r>
          </w:p>
        </w:tc>
        <w:tc>
          <w:tcPr>
            <w:tcW w:w="1550" w:type="dxa"/>
          </w:tcPr>
          <w:p w14:paraId="2D37FDA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uplink DMRS (uplink) for scheduling type A</w:t>
            </w:r>
          </w:p>
        </w:tc>
        <w:tc>
          <w:tcPr>
            <w:tcW w:w="1532" w:type="dxa"/>
          </w:tcPr>
          <w:p w14:paraId="580B0D8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Support 1 symbol FL DMRS without additional symbol(s)</w:t>
            </w:r>
          </w:p>
          <w:p w14:paraId="3B135C7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2) Support 1 symbol FL DMRS and 1 additional DMRS symbols </w:t>
            </w:r>
          </w:p>
          <w:p w14:paraId="70CF52A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Support 1 symbol FL DMRS and 2 additional DMRS symbols</w:t>
            </w:r>
          </w:p>
        </w:tc>
        <w:tc>
          <w:tcPr>
            <w:tcW w:w="1187" w:type="dxa"/>
          </w:tcPr>
          <w:p w14:paraId="5CA3334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7BF202E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0E65496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5EBDE25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35A0E8F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7917136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Conditioned to whether PUSCH scheduling type A is supported</w:t>
            </w:r>
          </w:p>
        </w:tc>
        <w:tc>
          <w:tcPr>
            <w:tcW w:w="1793" w:type="dxa"/>
          </w:tcPr>
          <w:p w14:paraId="054FC93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5339F3A9" w14:textId="77777777" w:rsidTr="003C3B7A">
        <w:tc>
          <w:tcPr>
            <w:tcW w:w="1276" w:type="dxa"/>
            <w:vMerge/>
          </w:tcPr>
          <w:p w14:paraId="34766B0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3DF4F61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2-16a</w:t>
            </w:r>
          </w:p>
        </w:tc>
        <w:tc>
          <w:tcPr>
            <w:tcW w:w="1550" w:type="dxa"/>
          </w:tcPr>
          <w:p w14:paraId="79917E3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uplink DMRS</w:t>
            </w:r>
          </w:p>
          <w:p w14:paraId="5DA3BDC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for scheduling type B</w:t>
            </w:r>
          </w:p>
        </w:tc>
        <w:tc>
          <w:tcPr>
            <w:tcW w:w="1532" w:type="dxa"/>
          </w:tcPr>
          <w:p w14:paraId="6DB34A6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Support 1 symbol FL DMRS without additional symbol(s)</w:t>
            </w:r>
          </w:p>
          <w:p w14:paraId="1239976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Support 1 symbol FL DMRS and 1 additional DMRS symbol</w:t>
            </w:r>
          </w:p>
        </w:tc>
        <w:tc>
          <w:tcPr>
            <w:tcW w:w="1187" w:type="dxa"/>
          </w:tcPr>
          <w:p w14:paraId="4672F3F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4305E32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53E8579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1375F2F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2EF6817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41D076C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conditioned to whether PUSCH scheduling type B is supported</w:t>
            </w:r>
          </w:p>
        </w:tc>
        <w:tc>
          <w:tcPr>
            <w:tcW w:w="1793" w:type="dxa"/>
          </w:tcPr>
          <w:p w14:paraId="7568DED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1485FDAE" w14:textId="77777777" w:rsidTr="003C3B7A">
        <w:tc>
          <w:tcPr>
            <w:tcW w:w="1276" w:type="dxa"/>
            <w:vMerge/>
          </w:tcPr>
          <w:p w14:paraId="7145898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13B94EB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2-32</w:t>
            </w:r>
          </w:p>
        </w:tc>
        <w:tc>
          <w:tcPr>
            <w:tcW w:w="1550" w:type="dxa"/>
          </w:tcPr>
          <w:p w14:paraId="470E951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CSI feedback</w:t>
            </w:r>
          </w:p>
        </w:tc>
        <w:tc>
          <w:tcPr>
            <w:tcW w:w="1532" w:type="dxa"/>
          </w:tcPr>
          <w:p w14:paraId="157A1A1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1) Type I single panel codebook based PMI (further discuss which mode or both to be supported as mandatory) </w:t>
            </w:r>
          </w:p>
          <w:p w14:paraId="0848184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2) 2Tx codebook for FR1 and FR2 </w:t>
            </w:r>
          </w:p>
          <w:p w14:paraId="50D77A6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4Tx codebook for FR1</w:t>
            </w:r>
          </w:p>
          <w:p w14:paraId="757EFCB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8Tx codebook for FR1 when configured as wideband CSI report</w:t>
            </w:r>
          </w:p>
          <w:p w14:paraId="23B1964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 p-CSI on PUCCH formats over 1 – 2 OFDM symbols once per slot (or piggybacked on a PUSCH)</w:t>
            </w:r>
          </w:p>
          <w:p w14:paraId="6EDFED3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 p-CSI report on PUCCH formats over 4 – 14 OFDM symbols once per slot (or piggybacked on a PUSCH)</w:t>
            </w:r>
          </w:p>
          <w:p w14:paraId="1F9BA69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7) a-CSI on PUSCH (at least Z value &gt;= 14 symbols, detail processing time to be discussed separately) </w:t>
            </w:r>
          </w:p>
          <w:p w14:paraId="315248B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further check a-CSI on p-CSI-RS and/or SP-CSI-RS from component-7</w:t>
            </w:r>
          </w:p>
        </w:tc>
        <w:tc>
          <w:tcPr>
            <w:tcW w:w="1187" w:type="dxa"/>
          </w:tcPr>
          <w:p w14:paraId="3CBC833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27030D6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3B251CC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19CCDBC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6318159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2E0139D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0013D95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4FEBA289" w14:textId="77777777" w:rsidTr="003C3B7A">
        <w:tc>
          <w:tcPr>
            <w:tcW w:w="1276" w:type="dxa"/>
            <w:vMerge/>
          </w:tcPr>
          <w:p w14:paraId="7361C79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0932C90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2-50</w:t>
            </w:r>
          </w:p>
        </w:tc>
        <w:tc>
          <w:tcPr>
            <w:tcW w:w="1550" w:type="dxa"/>
          </w:tcPr>
          <w:p w14:paraId="7C5641B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TRS</w:t>
            </w:r>
          </w:p>
        </w:tc>
        <w:tc>
          <w:tcPr>
            <w:tcW w:w="1532" w:type="dxa"/>
          </w:tcPr>
          <w:p w14:paraId="1425051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Support of TRS (mandatory)</w:t>
            </w:r>
          </w:p>
          <w:p w14:paraId="6B403E8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All the periodicity are supported.</w:t>
            </w:r>
          </w:p>
          <w:p w14:paraId="1AAAD93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Support TRS bandwidth configuration as both "BWP" and "min(52, BWP)"</w:t>
            </w:r>
          </w:p>
        </w:tc>
        <w:tc>
          <w:tcPr>
            <w:tcW w:w="1187" w:type="dxa"/>
          </w:tcPr>
          <w:p w14:paraId="275B103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6B8A82B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3BC4C9A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077896D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383F45B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6E6168B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TRS bandwidth configuration does not imply UE processing bandwidth</w:t>
            </w:r>
          </w:p>
        </w:tc>
        <w:tc>
          <w:tcPr>
            <w:tcW w:w="1793" w:type="dxa"/>
          </w:tcPr>
          <w:p w14:paraId="29FC523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17BF36B9" w14:textId="77777777" w:rsidTr="003C3B7A">
        <w:tc>
          <w:tcPr>
            <w:tcW w:w="1276" w:type="dxa"/>
            <w:vMerge/>
          </w:tcPr>
          <w:p w14:paraId="1DC73A5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851" w:type="dxa"/>
          </w:tcPr>
          <w:p w14:paraId="7F15C38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2-52</w:t>
            </w:r>
          </w:p>
        </w:tc>
        <w:tc>
          <w:tcPr>
            <w:tcW w:w="1550" w:type="dxa"/>
          </w:tcPr>
          <w:p w14:paraId="00FB7E3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SRS</w:t>
            </w:r>
          </w:p>
        </w:tc>
        <w:tc>
          <w:tcPr>
            <w:tcW w:w="1532" w:type="dxa"/>
          </w:tcPr>
          <w:p w14:paraId="4B25F23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Support 1 port SRS transmission</w:t>
            </w:r>
          </w:p>
          <w:p w14:paraId="09C96FC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Support periodic/aperiodic SRS transmission</w:t>
            </w:r>
          </w:p>
          <w:p w14:paraId="0FD24E7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Support SRS Frequency intra/inter-slot hopping within BWP</w:t>
            </w:r>
          </w:p>
          <w:p w14:paraId="1219A41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At least one SRS resource per CC for aperiodic and periodic separately</w:t>
            </w:r>
          </w:p>
        </w:tc>
        <w:tc>
          <w:tcPr>
            <w:tcW w:w="1187" w:type="dxa"/>
          </w:tcPr>
          <w:p w14:paraId="7CB802C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3A4F8DF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1907334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4447C54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1067E00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7C0A3EF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301E5C1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58F08DCB" w14:textId="77777777" w:rsidTr="003C3B7A">
        <w:tc>
          <w:tcPr>
            <w:tcW w:w="1276" w:type="dxa"/>
          </w:tcPr>
          <w:p w14:paraId="1DA3075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DL control channel and procedure</w:t>
            </w:r>
          </w:p>
        </w:tc>
        <w:tc>
          <w:tcPr>
            <w:tcW w:w="851" w:type="dxa"/>
          </w:tcPr>
          <w:p w14:paraId="125C531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3-1</w:t>
            </w:r>
          </w:p>
        </w:tc>
        <w:tc>
          <w:tcPr>
            <w:tcW w:w="1550" w:type="dxa"/>
          </w:tcPr>
          <w:p w14:paraId="7AEB863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DL control channel</w:t>
            </w:r>
          </w:p>
        </w:tc>
        <w:tc>
          <w:tcPr>
            <w:tcW w:w="1532" w:type="dxa"/>
          </w:tcPr>
          <w:p w14:paraId="38880FE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One configured CORESET per BWP per cell in addition to CORESET0</w:t>
            </w:r>
          </w:p>
          <w:p w14:paraId="56D6950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CORESET resource allocation of 6RB bit-map and duration of 1 – 3 OFDM symbols for FR1</w:t>
            </w:r>
          </w:p>
          <w:p w14:paraId="01207A1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For type 1 CSS without dedicated RRC configuration and for type 0, 0A, and 2 CSSs, CORESET resource allocation of 6RB bit-map and duration 1-3 OFDM symbols for FR2</w:t>
            </w:r>
          </w:p>
          <w:p w14:paraId="55F8E64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For type 1 CSS with dedicated RRC configuration and for type 3 CSS, UE specific SS, CORESET resource allocation of 6RB bit-map and duration 1-2 OFDM symbols for FR2</w:t>
            </w:r>
          </w:p>
          <w:p w14:paraId="48A6F96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REG-bundle sizes of 2/3 RBs or 6 RBs</w:t>
            </w:r>
          </w:p>
          <w:p w14:paraId="48BBA26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Interleaved and non-interleaved CCE-to-REG mapping</w:t>
            </w:r>
          </w:p>
          <w:p w14:paraId="615291D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 Precoder-granularity of REG-bundle size </w:t>
            </w:r>
          </w:p>
          <w:p w14:paraId="37B22DC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PDCCH DMRS scrambling determination</w:t>
            </w:r>
          </w:p>
          <w:p w14:paraId="49927C5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TCI state(s) for a CORESET configuration</w:t>
            </w:r>
          </w:p>
          <w:p w14:paraId="13B7E72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CSS and UE-SS configurations for unicast PDCCH transmission per BWP per cell</w:t>
            </w:r>
          </w:p>
          <w:p w14:paraId="112C623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PDCCH aggregation levels 1, 2, 4, 8, 16</w:t>
            </w:r>
          </w:p>
          <w:p w14:paraId="6EC0D30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UP to 3 search space sets in a slot for a scheduled SCell per BWP</w:t>
            </w:r>
          </w:p>
          <w:p w14:paraId="766BFDA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This search space limit is before applying all dropping rules. </w:t>
            </w:r>
          </w:p>
          <w:p w14:paraId="27EF726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For type 1 CSS with dedicated RRC configuration, type 3 CSS, and UE-SS, the monitoring occasion is within the first 3 OFDM symbols of a slot</w:t>
            </w:r>
          </w:p>
          <w:p w14:paraId="28046E7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D0EF35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Monitoring DCI formats 0_0, 1_0, 0_1, 1_1</w:t>
            </w:r>
          </w:p>
          <w:p w14:paraId="519B4E1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Number of PDCCH blind decodes per slot with a given SCS follows Case 1-1 table</w:t>
            </w:r>
          </w:p>
          <w:p w14:paraId="4E0EB1C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 Processing one unicast DCI scheduling DL and one unicast DCI scheduling UL per slot per scheduled CC for FDD</w:t>
            </w:r>
          </w:p>
          <w:p w14:paraId="24C5E8D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 Processing one unicast DCI scheduling DL and 2 unicast DCI scheduling UL per slot per scheduled CC for TDD</w:t>
            </w:r>
          </w:p>
        </w:tc>
        <w:tc>
          <w:tcPr>
            <w:tcW w:w="1187" w:type="dxa"/>
          </w:tcPr>
          <w:p w14:paraId="578274F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42CF1BE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1E6E286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0311268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43FFCF7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47C74B4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439F7FA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135107A8" w14:textId="77777777" w:rsidTr="003C3B7A">
        <w:tc>
          <w:tcPr>
            <w:tcW w:w="1276" w:type="dxa"/>
          </w:tcPr>
          <w:p w14:paraId="1F7C8F1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UL control channel and procedure</w:t>
            </w:r>
          </w:p>
        </w:tc>
        <w:tc>
          <w:tcPr>
            <w:tcW w:w="851" w:type="dxa"/>
          </w:tcPr>
          <w:p w14:paraId="088975B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4-1</w:t>
            </w:r>
          </w:p>
        </w:tc>
        <w:tc>
          <w:tcPr>
            <w:tcW w:w="1550" w:type="dxa"/>
          </w:tcPr>
          <w:p w14:paraId="1C75AE9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UL control channel</w:t>
            </w:r>
          </w:p>
        </w:tc>
        <w:tc>
          <w:tcPr>
            <w:tcW w:w="1532" w:type="dxa"/>
          </w:tcPr>
          <w:p w14:paraId="69B7D12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1) PUCCH format 0 over 1 OFDM symbols once per slot </w:t>
            </w:r>
          </w:p>
          <w:p w14:paraId="4BDF165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PUCCH format 0 over 2 OFDM symbols once per slot with frequency hopping as "enabled"</w:t>
            </w:r>
          </w:p>
          <w:p w14:paraId="4868CD4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PUCCH format 1 over 4 – 14 OFDM symbols once per slot with intra-slot frequency hopping as "enabled"</w:t>
            </w:r>
          </w:p>
          <w:p w14:paraId="779866D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 One SR configuration per PUCCH group</w:t>
            </w:r>
          </w:p>
          <w:p w14:paraId="2CAF74C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 HARQ-ACK transmission once per slot with its resource/timing determined by using the DCI</w:t>
            </w:r>
          </w:p>
          <w:p w14:paraId="62206C4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w:t>
            </w:r>
          </w:p>
          <w:p w14:paraId="10E6EC8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SR/HARQ multiplexing once per slot using a PUCCH when SR/HARQ-ACK are supposed to be sent by overlapping PUCCH resources with the same starting symbols in a slot</w:t>
            </w:r>
          </w:p>
          <w:p w14:paraId="060C15B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8) HARQ-ACK piggyback on PUSCH with/without aperiodic CSI once per slot when the starting OFDM symbol of the PUSCH is the same as the starting OFDM symbols of the PUCCH resource that HARQ-ACK would have been transmitted on</w:t>
            </w:r>
          </w:p>
          <w:p w14:paraId="18A9C2D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9) Semi-static beta-offset configuration for HARQ-ACK</w:t>
            </w:r>
          </w:p>
          <w:p w14:paraId="43A4257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10) Single group of overlapping PUCCH/PUCCH and overlapping PUCCH/PUSCH s per slot per PUCCH cell group for control multiplexing</w:t>
            </w:r>
          </w:p>
        </w:tc>
        <w:tc>
          <w:tcPr>
            <w:tcW w:w="1187" w:type="dxa"/>
          </w:tcPr>
          <w:p w14:paraId="0B3D458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48A03D7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466271F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49BA0C7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017DB40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4E707F9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4CDB477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5D601E14" w14:textId="77777777" w:rsidTr="003C3B7A">
        <w:tc>
          <w:tcPr>
            <w:tcW w:w="1276" w:type="dxa"/>
          </w:tcPr>
          <w:p w14:paraId="269F7BB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 Scheduling/HARQ operation</w:t>
            </w:r>
          </w:p>
        </w:tc>
        <w:tc>
          <w:tcPr>
            <w:tcW w:w="851" w:type="dxa"/>
          </w:tcPr>
          <w:p w14:paraId="4F590FF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5-1</w:t>
            </w:r>
          </w:p>
        </w:tc>
        <w:tc>
          <w:tcPr>
            <w:tcW w:w="1550" w:type="dxa"/>
          </w:tcPr>
          <w:p w14:paraId="26C6485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scheduling/HARQ operation</w:t>
            </w:r>
          </w:p>
        </w:tc>
        <w:tc>
          <w:tcPr>
            <w:tcW w:w="1532" w:type="dxa"/>
          </w:tcPr>
          <w:p w14:paraId="1FD190F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Frequency-domain resource allocation</w:t>
            </w:r>
          </w:p>
          <w:p w14:paraId="45B2198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RA Type 0 only and Type 1 only for PDSCH without interleaving</w:t>
            </w:r>
          </w:p>
          <w:p w14:paraId="5C8A682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RA Type 1 for PUSCH without interleaving</w:t>
            </w:r>
          </w:p>
          <w:p w14:paraId="44CA494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Time-domain resource allocation</w:t>
            </w:r>
          </w:p>
          <w:p w14:paraId="1F6B047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- 1-14 OFDM symbols for PUSCH once per slot</w:t>
            </w:r>
          </w:p>
          <w:p w14:paraId="6796F58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 One unicast PDSCH per slot </w:t>
            </w:r>
          </w:p>
          <w:p w14:paraId="255589D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Starting symbol, and duration are determined by using the DCI</w:t>
            </w:r>
          </w:p>
          <w:p w14:paraId="5D95E27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PDSCH mapping type A with 7-14 OFDM symbols</w:t>
            </w:r>
          </w:p>
          <w:p w14:paraId="5A1E7FA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PUSCH mapping type A and type B</w:t>
            </w:r>
          </w:p>
          <w:p w14:paraId="5F14AE0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For type 1 CSS without dedicated RRC configuration and for type 0, 0A, and 2 CSS, PDSCH mapping type A with {4-14} OFDM symbols and type B with {2, 4, 7} OFDM symbols</w:t>
            </w:r>
          </w:p>
          <w:p w14:paraId="3765BD8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TBS determination</w:t>
            </w:r>
          </w:p>
          <w:p w14:paraId="5525B71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Nominal UE processing time for N1 and N2 (Capability #1)</w:t>
            </w:r>
          </w:p>
          <w:p w14:paraId="22EDEAA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 HARQ process operation with configurable number of DL HARQ processes of up to 16</w:t>
            </w:r>
          </w:p>
          <w:p w14:paraId="1C4F3DA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 Cell specific RRC configured UL/DL assignment for TDD</w:t>
            </w:r>
          </w:p>
          <w:p w14:paraId="26FD836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 Dynamic UL/DL determination based on L1 scheduling DCI with/without cell specific RRC configured UL/DL assignment</w:t>
            </w:r>
          </w:p>
          <w:p w14:paraId="66A75F7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8) Intra-slot frequency-hopping for PUSCH scheduled by Type 1 CSS before RRC connection </w:t>
            </w:r>
          </w:p>
          <w:p w14:paraId="3E06FA0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9) In TDD support at most one switch point per slot for actual DL/UL transmission(s)</w:t>
            </w:r>
          </w:p>
          <w:p w14:paraId="2CB3B50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10) DL scheduling slot offset K0=0</w:t>
            </w:r>
          </w:p>
          <w:p w14:paraId="0535253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11) DL scheduling slot offset K0=1 for type 1 CSS without dedicated RRC configuration and for type 0, 0A, and 2 CSS</w:t>
            </w:r>
          </w:p>
          <w:p w14:paraId="62E0732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12) UL scheduling slot offset K2&lt;=12</w:t>
            </w:r>
          </w:p>
          <w:p w14:paraId="57ADD13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p w14:paraId="424114F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For type 1 CSS without dedicated RRC configuration and for type 0, 0A, and 2 CSS, interleaving for VRB-to-PRB mapping for PDSCH</w:t>
            </w:r>
          </w:p>
        </w:tc>
        <w:tc>
          <w:tcPr>
            <w:tcW w:w="1187" w:type="dxa"/>
          </w:tcPr>
          <w:p w14:paraId="55CDE84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5753B2A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40F9442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35B8485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79BBDF9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377E51B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0412B96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2AD08B28" w14:textId="77777777" w:rsidTr="003C3B7A">
        <w:tc>
          <w:tcPr>
            <w:tcW w:w="1276" w:type="dxa"/>
          </w:tcPr>
          <w:p w14:paraId="4B6EC7C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 CA/DC, BWP, SUL</w:t>
            </w:r>
          </w:p>
        </w:tc>
        <w:tc>
          <w:tcPr>
            <w:tcW w:w="851" w:type="dxa"/>
          </w:tcPr>
          <w:p w14:paraId="73F3B17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6-1</w:t>
            </w:r>
          </w:p>
        </w:tc>
        <w:tc>
          <w:tcPr>
            <w:tcW w:w="1550" w:type="dxa"/>
          </w:tcPr>
          <w:p w14:paraId="66EC836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BWP operation with restriction</w:t>
            </w:r>
          </w:p>
        </w:tc>
        <w:tc>
          <w:tcPr>
            <w:tcW w:w="1532" w:type="dxa"/>
          </w:tcPr>
          <w:p w14:paraId="1A7966B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1 UE-specific RRC configured DL BWP per carrier</w:t>
            </w:r>
          </w:p>
          <w:p w14:paraId="3E66A76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1 UE-specific RRC configured UL BWP per carrier</w:t>
            </w:r>
          </w:p>
          <w:p w14:paraId="0331700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RRC reconfiguration of any parameters related to BWP</w:t>
            </w:r>
          </w:p>
          <w:p w14:paraId="1AA4040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BW of a UE-specific RRC configured BWP includes BW of CORESET#0 (if CORESET#0 is present) and SSB for PCell/PSCell (if configured) and BW of the UE-specific RRC configured BWP includes SSB for SCell if there is SSB on SCell</w:t>
            </w:r>
          </w:p>
        </w:tc>
        <w:tc>
          <w:tcPr>
            <w:tcW w:w="1187" w:type="dxa"/>
          </w:tcPr>
          <w:p w14:paraId="213A621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57D136D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10328C7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7E434BF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76C6B01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3F5EC01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This feature should be mandatory without capability signalling for at least BWPs which is the same as the set of specified channel BW</w:t>
            </w:r>
          </w:p>
          <w:p w14:paraId="30FB384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p w14:paraId="30AB999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UE-specific RRC configured DL/UL BWP can have the same or different numerology from the initial active DL/UL BWP</w:t>
            </w:r>
          </w:p>
        </w:tc>
        <w:tc>
          <w:tcPr>
            <w:tcW w:w="1793" w:type="dxa"/>
          </w:tcPr>
          <w:p w14:paraId="422F475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3D1DDC8E" w14:textId="77777777" w:rsidTr="003C3B7A">
        <w:tc>
          <w:tcPr>
            <w:tcW w:w="1276" w:type="dxa"/>
          </w:tcPr>
          <w:p w14:paraId="1D773A0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 Channel coding</w:t>
            </w:r>
          </w:p>
        </w:tc>
        <w:tc>
          <w:tcPr>
            <w:tcW w:w="851" w:type="dxa"/>
          </w:tcPr>
          <w:p w14:paraId="01F8DBE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7-1</w:t>
            </w:r>
          </w:p>
        </w:tc>
        <w:tc>
          <w:tcPr>
            <w:tcW w:w="1550" w:type="dxa"/>
          </w:tcPr>
          <w:p w14:paraId="4318245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Channel coding</w:t>
            </w:r>
          </w:p>
        </w:tc>
        <w:tc>
          <w:tcPr>
            <w:tcW w:w="1532" w:type="dxa"/>
          </w:tcPr>
          <w:p w14:paraId="103658F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LDPC encoding and associated functions for data on DL and UL</w:t>
            </w:r>
          </w:p>
          <w:p w14:paraId="10002A9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Polar encoding and associated functions for PBCH, DCI, and UCI</w:t>
            </w:r>
          </w:p>
          <w:p w14:paraId="716FA0E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Coding for very small blocks</w:t>
            </w:r>
          </w:p>
        </w:tc>
        <w:tc>
          <w:tcPr>
            <w:tcW w:w="1187" w:type="dxa"/>
          </w:tcPr>
          <w:p w14:paraId="627D806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30" w:type="dxa"/>
          </w:tcPr>
          <w:p w14:paraId="03B40D9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521" w:type="dxa"/>
          </w:tcPr>
          <w:p w14:paraId="2D7A44B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46AA87F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35" w:type="dxa"/>
          </w:tcPr>
          <w:p w14:paraId="172F72D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05" w:type="dxa"/>
          </w:tcPr>
          <w:p w14:paraId="12546C1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793" w:type="dxa"/>
          </w:tcPr>
          <w:p w14:paraId="4BC419C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bl>
    <w:p w14:paraId="3DA317B1" w14:textId="77777777" w:rsidR="00E60A9C" w:rsidRPr="00E60A9C" w:rsidRDefault="00E60A9C" w:rsidP="00E60A9C">
      <w:pPr>
        <w:overflowPunct w:val="0"/>
        <w:autoSpaceDE w:val="0"/>
        <w:autoSpaceDN w:val="0"/>
        <w:adjustRightInd w:val="0"/>
        <w:spacing w:after="180"/>
        <w:textAlignment w:val="baseline"/>
        <w:rPr>
          <w:rFonts w:eastAsia="Times New Roman"/>
          <w:sz w:val="20"/>
        </w:rPr>
      </w:pPr>
    </w:p>
    <w:p w14:paraId="34D0AE8E" w14:textId="69F7D9A3" w:rsidR="00E60A9C" w:rsidRPr="00E60A9C" w:rsidRDefault="0089070B" w:rsidP="00E60A9C">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rPr>
      </w:pPr>
      <w:bookmarkStart w:id="4" w:name="_Toc12574266"/>
      <w:r>
        <w:rPr>
          <w:rFonts w:ascii="Arial" w:eastAsia="Times New Roman" w:hAnsi="Arial"/>
          <w:sz w:val="32"/>
        </w:rPr>
        <w:t>A</w:t>
      </w:r>
      <w:r w:rsidR="00E60A9C" w:rsidRPr="00E60A9C">
        <w:rPr>
          <w:rFonts w:ascii="Arial" w:eastAsia="Times New Roman" w:hAnsi="Arial"/>
          <w:sz w:val="32"/>
        </w:rPr>
        <w:t>.2</w:t>
      </w:r>
      <w:r w:rsidR="00E60A9C" w:rsidRPr="00E60A9C">
        <w:rPr>
          <w:rFonts w:ascii="Arial" w:eastAsia="Times New Roman" w:hAnsi="Arial"/>
          <w:sz w:val="32"/>
        </w:rPr>
        <w:tab/>
        <w:t>Layer-2 and Layer-3 features</w:t>
      </w:r>
      <w:bookmarkEnd w:id="4"/>
    </w:p>
    <w:p w14:paraId="44C53B7A" w14:textId="2D770E6A" w:rsidR="00E60A9C" w:rsidRPr="00E60A9C" w:rsidRDefault="00E60A9C" w:rsidP="00E60A9C">
      <w:pPr>
        <w:overflowPunct w:val="0"/>
        <w:autoSpaceDE w:val="0"/>
        <w:autoSpaceDN w:val="0"/>
        <w:adjustRightInd w:val="0"/>
        <w:spacing w:after="180"/>
        <w:textAlignment w:val="baseline"/>
        <w:rPr>
          <w:rFonts w:eastAsia="Times New Roman"/>
          <w:sz w:val="20"/>
        </w:rPr>
      </w:pPr>
      <w:r w:rsidRPr="00E60A9C">
        <w:rPr>
          <w:rFonts w:eastAsia="Times New Roman"/>
          <w:sz w:val="20"/>
        </w:rPr>
        <w:t xml:space="preserve">Table </w:t>
      </w:r>
      <w:r w:rsidR="0089070B">
        <w:rPr>
          <w:rFonts w:eastAsia="Times New Roman"/>
          <w:sz w:val="20"/>
        </w:rPr>
        <w:t>A</w:t>
      </w:r>
      <w:r w:rsidRPr="00E60A9C">
        <w:rPr>
          <w:rFonts w:eastAsia="Times New Roman"/>
          <w:sz w:val="20"/>
        </w:rPr>
        <w:t>.2-1 provides the list of Layer-2 and Layer-3 features, as shown in [</w:t>
      </w:r>
      <w:r w:rsidR="0089070B">
        <w:rPr>
          <w:rFonts w:eastAsia="Times New Roman"/>
          <w:sz w:val="20"/>
        </w:rPr>
        <w:t>5</w:t>
      </w:r>
      <w:r w:rsidRPr="00E60A9C">
        <w:rPr>
          <w:rFonts w:eastAsia="Times New Roman"/>
          <w:sz w:val="20"/>
        </w:rPr>
        <w:t>] and the corresponding UE capability field name, as specified in TS 38.331 [</w:t>
      </w:r>
      <w:r w:rsidR="0089070B">
        <w:rPr>
          <w:rFonts w:eastAsia="Times New Roman"/>
          <w:sz w:val="20"/>
        </w:rPr>
        <w:t>4</w:t>
      </w:r>
      <w:r w:rsidRPr="00E60A9C">
        <w:rPr>
          <w:rFonts w:eastAsia="Times New Roman"/>
          <w:sz w:val="20"/>
        </w:rPr>
        <w:t>].</w:t>
      </w:r>
    </w:p>
    <w:p w14:paraId="5D879282" w14:textId="40F22123" w:rsidR="00E60A9C" w:rsidRPr="00E60A9C" w:rsidRDefault="00E60A9C" w:rsidP="00E60A9C">
      <w:pPr>
        <w:keepNext/>
        <w:keepLines/>
        <w:overflowPunct w:val="0"/>
        <w:autoSpaceDE w:val="0"/>
        <w:autoSpaceDN w:val="0"/>
        <w:adjustRightInd w:val="0"/>
        <w:spacing w:before="60" w:after="180"/>
        <w:jc w:val="center"/>
        <w:textAlignment w:val="baseline"/>
        <w:rPr>
          <w:rFonts w:ascii="Arial" w:eastAsia="Times New Roman" w:hAnsi="Arial"/>
          <w:b/>
          <w:sz w:val="20"/>
        </w:rPr>
      </w:pPr>
      <w:r w:rsidRPr="00E60A9C">
        <w:rPr>
          <w:rFonts w:ascii="Arial" w:eastAsia="Times New Roman" w:hAnsi="Arial"/>
          <w:b/>
          <w:sz w:val="20"/>
        </w:rPr>
        <w:t xml:space="preserve">Table </w:t>
      </w:r>
      <w:r w:rsidR="0089070B">
        <w:rPr>
          <w:rFonts w:ascii="Arial" w:eastAsia="Times New Roman" w:hAnsi="Arial"/>
          <w:b/>
          <w:sz w:val="20"/>
        </w:rPr>
        <w:t>A</w:t>
      </w:r>
      <w:r w:rsidRPr="00E60A9C">
        <w:rPr>
          <w:rFonts w:ascii="Arial" w:eastAsia="Times New Roman" w:hAnsi="Arial"/>
          <w:b/>
          <w:sz w:val="20"/>
        </w:rPr>
        <w:t>.2-1:</w:t>
      </w:r>
      <w:r w:rsidRPr="00E60A9C">
        <w:rPr>
          <w:rFonts w:ascii="Arial" w:eastAsia="Times New Roman" w:hAnsi="Arial"/>
          <w:b/>
          <w:sz w:val="20"/>
        </w:rPr>
        <w:tab/>
        <w:t>Layer-2 and Layer-3 feature list</w:t>
      </w:r>
    </w:p>
    <w:tbl>
      <w:tblPr>
        <w:tblW w:w="0" w:type="auto"/>
        <w:tblLayout w:type="fixed"/>
        <w:tblLook w:val="04A0" w:firstRow="1" w:lastRow="0" w:firstColumn="1" w:lastColumn="0" w:noHBand="0" w:noVBand="1"/>
      </w:tblPr>
      <w:tblGrid>
        <w:gridCol w:w="993"/>
        <w:gridCol w:w="708"/>
        <w:gridCol w:w="1191"/>
        <w:gridCol w:w="1388"/>
        <w:gridCol w:w="1068"/>
        <w:gridCol w:w="1281"/>
        <w:gridCol w:w="1876"/>
        <w:gridCol w:w="1199"/>
        <w:gridCol w:w="1199"/>
        <w:gridCol w:w="1216"/>
        <w:gridCol w:w="1601"/>
      </w:tblGrid>
      <w:tr w:rsidR="00E60A9C" w:rsidRPr="00E60A9C" w14:paraId="344D3A02" w14:textId="77777777" w:rsidTr="0089070B">
        <w:tc>
          <w:tcPr>
            <w:tcW w:w="993" w:type="dxa"/>
          </w:tcPr>
          <w:p w14:paraId="350C613D"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Features</w:t>
            </w:r>
          </w:p>
        </w:tc>
        <w:tc>
          <w:tcPr>
            <w:tcW w:w="708" w:type="dxa"/>
          </w:tcPr>
          <w:p w14:paraId="36FB3D19"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Index</w:t>
            </w:r>
          </w:p>
        </w:tc>
        <w:tc>
          <w:tcPr>
            <w:tcW w:w="1191" w:type="dxa"/>
          </w:tcPr>
          <w:p w14:paraId="5F63BD0D"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Feature group</w:t>
            </w:r>
          </w:p>
        </w:tc>
        <w:tc>
          <w:tcPr>
            <w:tcW w:w="1388" w:type="dxa"/>
          </w:tcPr>
          <w:p w14:paraId="105874D1"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Components</w:t>
            </w:r>
          </w:p>
        </w:tc>
        <w:tc>
          <w:tcPr>
            <w:tcW w:w="1068" w:type="dxa"/>
          </w:tcPr>
          <w:p w14:paraId="2C862847"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Prerequisite feature groups</w:t>
            </w:r>
          </w:p>
        </w:tc>
        <w:tc>
          <w:tcPr>
            <w:tcW w:w="1281" w:type="dxa"/>
          </w:tcPr>
          <w:p w14:paraId="31C40808" w14:textId="7D31379D" w:rsidR="00E60A9C" w:rsidRPr="00E60A9C" w:rsidRDefault="00E60A9C" w:rsidP="0089070B">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Field name in TS 38.331 [</w:t>
            </w:r>
            <w:r w:rsidR="0089070B">
              <w:rPr>
                <w:rFonts w:ascii="Arial" w:eastAsia="Times New Roman" w:hAnsi="Arial"/>
                <w:b/>
                <w:sz w:val="18"/>
              </w:rPr>
              <w:t>4</w:t>
            </w:r>
            <w:r w:rsidRPr="00E60A9C">
              <w:rPr>
                <w:rFonts w:ascii="Arial" w:eastAsia="Times New Roman" w:hAnsi="Arial"/>
                <w:b/>
                <w:sz w:val="18"/>
              </w:rPr>
              <w:t>]</w:t>
            </w:r>
          </w:p>
        </w:tc>
        <w:tc>
          <w:tcPr>
            <w:tcW w:w="1876" w:type="dxa"/>
          </w:tcPr>
          <w:p w14:paraId="4874E563" w14:textId="0A097980" w:rsidR="00E60A9C" w:rsidRPr="00E60A9C" w:rsidRDefault="00E60A9C" w:rsidP="0089070B">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Parent IE in TS 38.331 [</w:t>
            </w:r>
            <w:r w:rsidR="0089070B">
              <w:rPr>
                <w:rFonts w:ascii="Arial" w:eastAsia="Times New Roman" w:hAnsi="Arial"/>
                <w:b/>
                <w:sz w:val="18"/>
              </w:rPr>
              <w:t>4</w:t>
            </w:r>
            <w:r w:rsidRPr="00E60A9C">
              <w:rPr>
                <w:rFonts w:ascii="Arial" w:eastAsia="Times New Roman" w:hAnsi="Arial"/>
                <w:b/>
                <w:sz w:val="18"/>
              </w:rPr>
              <w:t>]</w:t>
            </w:r>
          </w:p>
        </w:tc>
        <w:tc>
          <w:tcPr>
            <w:tcW w:w="1199" w:type="dxa"/>
          </w:tcPr>
          <w:p w14:paraId="4790CF92"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Need of FDD/TDD differentiation</w:t>
            </w:r>
          </w:p>
        </w:tc>
        <w:tc>
          <w:tcPr>
            <w:tcW w:w="1199" w:type="dxa"/>
          </w:tcPr>
          <w:p w14:paraId="1977EE41"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Need of FR1/FR2 differentiation</w:t>
            </w:r>
          </w:p>
        </w:tc>
        <w:tc>
          <w:tcPr>
            <w:tcW w:w="1216" w:type="dxa"/>
          </w:tcPr>
          <w:p w14:paraId="28FC01C4"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Note</w:t>
            </w:r>
          </w:p>
        </w:tc>
        <w:tc>
          <w:tcPr>
            <w:tcW w:w="1601" w:type="dxa"/>
          </w:tcPr>
          <w:p w14:paraId="558B6B46" w14:textId="77777777" w:rsidR="0089070B"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Mandatory</w:t>
            </w:r>
          </w:p>
          <w:p w14:paraId="66DC80FC" w14:textId="609F2FD3"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/Optional</w:t>
            </w:r>
          </w:p>
        </w:tc>
      </w:tr>
      <w:tr w:rsidR="00E60A9C" w:rsidRPr="00E60A9C" w14:paraId="2C0CB38C" w14:textId="77777777" w:rsidTr="0089070B">
        <w:tc>
          <w:tcPr>
            <w:tcW w:w="993" w:type="dxa"/>
            <w:vMerge w:val="restart"/>
          </w:tcPr>
          <w:p w14:paraId="11B73F3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0. General (including supported bearer types)</w:t>
            </w:r>
          </w:p>
        </w:tc>
        <w:tc>
          <w:tcPr>
            <w:tcW w:w="708" w:type="dxa"/>
          </w:tcPr>
          <w:p w14:paraId="3E01B8D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0-0</w:t>
            </w:r>
          </w:p>
        </w:tc>
        <w:tc>
          <w:tcPr>
            <w:tcW w:w="1191" w:type="dxa"/>
          </w:tcPr>
          <w:p w14:paraId="631CD3F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EN-DC procedures</w:t>
            </w:r>
          </w:p>
        </w:tc>
        <w:tc>
          <w:tcPr>
            <w:tcW w:w="1388" w:type="dxa"/>
          </w:tcPr>
          <w:p w14:paraId="63FD807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MCG DRB with LTE/NR PDCP</w:t>
            </w:r>
          </w:p>
          <w:p w14:paraId="0F36B3E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SCG DRB with NR PDCP</w:t>
            </w:r>
          </w:p>
          <w:p w14:paraId="40A111E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SN addition, modification, and release via RRC connection reconfiguration</w:t>
            </w:r>
          </w:p>
          <w:p w14:paraId="7E392C2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Joint processing on the combined RRC messages</w:t>
            </w:r>
          </w:p>
          <w:p w14:paraId="725FAE7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 Failure handling (including both MN and SN)</w:t>
            </w:r>
          </w:p>
        </w:tc>
        <w:tc>
          <w:tcPr>
            <w:tcW w:w="1068" w:type="dxa"/>
          </w:tcPr>
          <w:p w14:paraId="5BB493B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399301B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876" w:type="dxa"/>
          </w:tcPr>
          <w:p w14:paraId="57B65C9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0A0BF2A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07683DD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16" w:type="dxa"/>
          </w:tcPr>
          <w:p w14:paraId="451A41A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601" w:type="dxa"/>
          </w:tcPr>
          <w:p w14:paraId="1B55222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30348CD0" w14:textId="77777777" w:rsidTr="0089070B">
        <w:tc>
          <w:tcPr>
            <w:tcW w:w="993" w:type="dxa"/>
            <w:vMerge/>
          </w:tcPr>
          <w:p w14:paraId="7E50D93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8" w:type="dxa"/>
          </w:tcPr>
          <w:p w14:paraId="7EAA57F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0-3</w:t>
            </w:r>
          </w:p>
        </w:tc>
        <w:tc>
          <w:tcPr>
            <w:tcW w:w="1191" w:type="dxa"/>
          </w:tcPr>
          <w:p w14:paraId="67FD8D1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DRB</w:t>
            </w:r>
          </w:p>
        </w:tc>
        <w:tc>
          <w:tcPr>
            <w:tcW w:w="1388" w:type="dxa"/>
          </w:tcPr>
          <w:p w14:paraId="051AE75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Maximum number of DRBs</w:t>
            </w:r>
          </w:p>
          <w:p w14:paraId="742A376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2) Split DRB with one UL path </w:t>
            </w:r>
          </w:p>
          <w:p w14:paraId="129CE7E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Split DRB with both UL MCG and SCG paths</w:t>
            </w:r>
          </w:p>
        </w:tc>
        <w:tc>
          <w:tcPr>
            <w:tcW w:w="1068" w:type="dxa"/>
          </w:tcPr>
          <w:p w14:paraId="28794F4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50E31FC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2) n/a</w:t>
            </w:r>
          </w:p>
          <w:p w14:paraId="3446C59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3) </w:t>
            </w:r>
            <w:r w:rsidRPr="00E60A9C">
              <w:rPr>
                <w:rFonts w:ascii="Arial" w:eastAsia="Times New Roman" w:hAnsi="Arial"/>
                <w:i/>
                <w:sz w:val="18"/>
              </w:rPr>
              <w:t>splitDRB-withUL-Both-MCG-SCG</w:t>
            </w:r>
          </w:p>
        </w:tc>
        <w:tc>
          <w:tcPr>
            <w:tcW w:w="1876" w:type="dxa"/>
          </w:tcPr>
          <w:p w14:paraId="1A1844A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2) n/a</w:t>
            </w:r>
          </w:p>
          <w:p w14:paraId="300F412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3) </w:t>
            </w:r>
            <w:r w:rsidRPr="00E60A9C">
              <w:rPr>
                <w:rFonts w:ascii="Arial" w:eastAsia="Times New Roman" w:hAnsi="Arial"/>
                <w:i/>
                <w:sz w:val="18"/>
              </w:rPr>
              <w:t>GeneralParametersMRDC-XDD-Diff</w:t>
            </w:r>
          </w:p>
        </w:tc>
        <w:tc>
          <w:tcPr>
            <w:tcW w:w="1199" w:type="dxa"/>
          </w:tcPr>
          <w:p w14:paraId="5442E6E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199" w:type="dxa"/>
          </w:tcPr>
          <w:p w14:paraId="25A2250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216" w:type="dxa"/>
          </w:tcPr>
          <w:p w14:paraId="5873855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8 DRBs are supported regardless of bearer types</w:t>
            </w:r>
          </w:p>
        </w:tc>
        <w:tc>
          <w:tcPr>
            <w:tcW w:w="1601" w:type="dxa"/>
          </w:tcPr>
          <w:p w14:paraId="62CE2CF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2) Mandatory without UE capability signalling</w:t>
            </w:r>
          </w:p>
          <w:p w14:paraId="1AA111C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Mandatory with capability signalling</w:t>
            </w:r>
          </w:p>
        </w:tc>
      </w:tr>
      <w:tr w:rsidR="00E60A9C" w:rsidRPr="00E60A9C" w14:paraId="67BF6A5F" w14:textId="77777777" w:rsidTr="0089070B">
        <w:tc>
          <w:tcPr>
            <w:tcW w:w="993" w:type="dxa"/>
            <w:vMerge/>
          </w:tcPr>
          <w:p w14:paraId="6B0AC8E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8" w:type="dxa"/>
          </w:tcPr>
          <w:p w14:paraId="17CA086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0-4</w:t>
            </w:r>
          </w:p>
        </w:tc>
        <w:tc>
          <w:tcPr>
            <w:tcW w:w="1191" w:type="dxa"/>
          </w:tcPr>
          <w:p w14:paraId="3CB04F9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Direct SN addition in the first RRC connection reconfiguration after RRC connection establishment</w:t>
            </w:r>
          </w:p>
        </w:tc>
        <w:tc>
          <w:tcPr>
            <w:tcW w:w="1388" w:type="dxa"/>
          </w:tcPr>
          <w:p w14:paraId="52E9882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Direct SN addition in the first RRC connection reconfiguration after RRC connection establishment</w:t>
            </w:r>
          </w:p>
        </w:tc>
        <w:tc>
          <w:tcPr>
            <w:tcW w:w="1068" w:type="dxa"/>
          </w:tcPr>
          <w:p w14:paraId="641A150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57A51F2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876" w:type="dxa"/>
          </w:tcPr>
          <w:p w14:paraId="74A9202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1743D4E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204BA69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16" w:type="dxa"/>
          </w:tcPr>
          <w:p w14:paraId="1143C92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601" w:type="dxa"/>
          </w:tcPr>
          <w:p w14:paraId="70898BA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47739F8B" w14:textId="77777777" w:rsidTr="0089070B">
        <w:tc>
          <w:tcPr>
            <w:tcW w:w="993" w:type="dxa"/>
          </w:tcPr>
          <w:p w14:paraId="35609D2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PDCP</w:t>
            </w:r>
          </w:p>
        </w:tc>
        <w:tc>
          <w:tcPr>
            <w:tcW w:w="708" w:type="dxa"/>
          </w:tcPr>
          <w:p w14:paraId="56797E1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1-0</w:t>
            </w:r>
          </w:p>
        </w:tc>
        <w:tc>
          <w:tcPr>
            <w:tcW w:w="1191" w:type="dxa"/>
          </w:tcPr>
          <w:p w14:paraId="0DE7168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PDCP procedures</w:t>
            </w:r>
          </w:p>
        </w:tc>
        <w:tc>
          <w:tcPr>
            <w:tcW w:w="1388" w:type="dxa"/>
          </w:tcPr>
          <w:p w14:paraId="7558925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(de)Ciphering on DRB/SRB</w:t>
            </w:r>
          </w:p>
          <w:p w14:paraId="61F2BDC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Integrity protection on SRB</w:t>
            </w:r>
          </w:p>
          <w:p w14:paraId="3867D26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Timer based SDU discard</w:t>
            </w:r>
          </w:p>
          <w:p w14:paraId="01FFF2C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Re-ordering and in-order delivery</w:t>
            </w:r>
          </w:p>
          <w:p w14:paraId="531217C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 Status reporting</w:t>
            </w:r>
          </w:p>
          <w:p w14:paraId="7826484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 Duplicate discarding</w:t>
            </w:r>
          </w:p>
          <w:p w14:paraId="6FB0356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 18bits SN</w:t>
            </w:r>
          </w:p>
        </w:tc>
        <w:tc>
          <w:tcPr>
            <w:tcW w:w="1068" w:type="dxa"/>
          </w:tcPr>
          <w:p w14:paraId="55FE317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13BDB71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876" w:type="dxa"/>
          </w:tcPr>
          <w:p w14:paraId="7024F08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542C2D5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3DD4CC7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16" w:type="dxa"/>
          </w:tcPr>
          <w:p w14:paraId="27B47A8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601" w:type="dxa"/>
          </w:tcPr>
          <w:p w14:paraId="51CD2E3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08BD0039" w14:textId="77777777" w:rsidTr="0089070B">
        <w:tc>
          <w:tcPr>
            <w:tcW w:w="993" w:type="dxa"/>
          </w:tcPr>
          <w:p w14:paraId="39BC78F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RLC</w:t>
            </w:r>
          </w:p>
        </w:tc>
        <w:tc>
          <w:tcPr>
            <w:tcW w:w="708" w:type="dxa"/>
          </w:tcPr>
          <w:p w14:paraId="0E79F4B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2-0</w:t>
            </w:r>
          </w:p>
        </w:tc>
        <w:tc>
          <w:tcPr>
            <w:tcW w:w="1191" w:type="dxa"/>
          </w:tcPr>
          <w:p w14:paraId="77AE383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RLC procedures</w:t>
            </w:r>
          </w:p>
        </w:tc>
        <w:tc>
          <w:tcPr>
            <w:tcW w:w="1388" w:type="dxa"/>
          </w:tcPr>
          <w:p w14:paraId="71B096F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RLC TM</w:t>
            </w:r>
          </w:p>
          <w:p w14:paraId="1E9C3FB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RLC AM with 18bits SN*</w:t>
            </w:r>
          </w:p>
          <w:p w14:paraId="6B4471E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SDU discard</w:t>
            </w:r>
          </w:p>
        </w:tc>
        <w:tc>
          <w:tcPr>
            <w:tcW w:w="1068" w:type="dxa"/>
          </w:tcPr>
          <w:p w14:paraId="3BD23D0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0B7CF41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876" w:type="dxa"/>
          </w:tcPr>
          <w:p w14:paraId="53ABE99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052C652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1330435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16" w:type="dxa"/>
          </w:tcPr>
          <w:p w14:paraId="3D94E5E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 separate feature is considered for t-PollRetransmit, t-Reassembly and t-StatusProhibit</w:t>
            </w:r>
          </w:p>
        </w:tc>
        <w:tc>
          <w:tcPr>
            <w:tcW w:w="1601" w:type="dxa"/>
          </w:tcPr>
          <w:p w14:paraId="1443D13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513CCC99" w14:textId="77777777" w:rsidTr="0089070B">
        <w:tc>
          <w:tcPr>
            <w:tcW w:w="993" w:type="dxa"/>
          </w:tcPr>
          <w:p w14:paraId="55BE3FC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MAC</w:t>
            </w:r>
          </w:p>
        </w:tc>
        <w:tc>
          <w:tcPr>
            <w:tcW w:w="708" w:type="dxa"/>
          </w:tcPr>
          <w:p w14:paraId="7EA0C00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3-0</w:t>
            </w:r>
          </w:p>
        </w:tc>
        <w:tc>
          <w:tcPr>
            <w:tcW w:w="1191" w:type="dxa"/>
          </w:tcPr>
          <w:p w14:paraId="77F3C27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Basic MAC procedures</w:t>
            </w:r>
          </w:p>
        </w:tc>
        <w:tc>
          <w:tcPr>
            <w:tcW w:w="1388" w:type="dxa"/>
          </w:tcPr>
          <w:p w14:paraId="5D78BEE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RA procedure on PCell or PSCell (in case of EN-DC)</w:t>
            </w:r>
          </w:p>
          <w:p w14:paraId="7C4166A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UE initiated RA procedure (including for beam recovery purpose)</w:t>
            </w:r>
          </w:p>
          <w:p w14:paraId="740B3B3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NW initiated RA procedure (i.e. based on PDCCH)</w:t>
            </w:r>
          </w:p>
          <w:p w14:paraId="6DEB188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Support of ssb-Threshold and association between preamble/PRACH occasion and SSB</w:t>
            </w:r>
          </w:p>
          <w:p w14:paraId="6F18B66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 Preamble grouping</w:t>
            </w:r>
          </w:p>
          <w:p w14:paraId="221A72A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 UL single TA maintenance</w:t>
            </w:r>
          </w:p>
          <w:p w14:paraId="6BAD0D1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 HARQ operation for DL and UL</w:t>
            </w:r>
          </w:p>
          <w:p w14:paraId="68DB18F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8) LCH prioritization</w:t>
            </w:r>
          </w:p>
          <w:p w14:paraId="3858D8C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9) Prioritized bit rate</w:t>
            </w:r>
          </w:p>
          <w:p w14:paraId="4380199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10) Multiplexing</w:t>
            </w:r>
          </w:p>
          <w:p w14:paraId="24636A0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11) SR with single SR configuration</w:t>
            </w:r>
          </w:p>
          <w:p w14:paraId="14E7B87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12) BSR</w:t>
            </w:r>
          </w:p>
          <w:p w14:paraId="189D1F0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13) PHR</w:t>
            </w:r>
          </w:p>
          <w:p w14:paraId="5EBC08F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14) 8bits and 16bits L field</w:t>
            </w:r>
          </w:p>
        </w:tc>
        <w:tc>
          <w:tcPr>
            <w:tcW w:w="1068" w:type="dxa"/>
          </w:tcPr>
          <w:p w14:paraId="6EAFBE4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67234A2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876" w:type="dxa"/>
          </w:tcPr>
          <w:p w14:paraId="4FE0F2B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03CC3EE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4D97123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16" w:type="dxa"/>
          </w:tcPr>
          <w:p w14:paraId="37A3AFF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601" w:type="dxa"/>
          </w:tcPr>
          <w:p w14:paraId="1DA154B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signallling</w:t>
            </w:r>
          </w:p>
        </w:tc>
      </w:tr>
      <w:tr w:rsidR="00E60A9C" w:rsidRPr="00E60A9C" w14:paraId="4BD96AD8" w14:textId="77777777" w:rsidTr="0089070B">
        <w:tc>
          <w:tcPr>
            <w:tcW w:w="993" w:type="dxa"/>
            <w:vMerge w:val="restart"/>
          </w:tcPr>
          <w:p w14:paraId="2481DFA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Measurements</w:t>
            </w:r>
          </w:p>
        </w:tc>
        <w:tc>
          <w:tcPr>
            <w:tcW w:w="708" w:type="dxa"/>
          </w:tcPr>
          <w:p w14:paraId="256EBE6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4-1</w:t>
            </w:r>
          </w:p>
        </w:tc>
        <w:tc>
          <w:tcPr>
            <w:tcW w:w="1191" w:type="dxa"/>
          </w:tcPr>
          <w:p w14:paraId="248A2A2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Intra-NR measurements and reports</w:t>
            </w:r>
          </w:p>
        </w:tc>
        <w:tc>
          <w:tcPr>
            <w:tcW w:w="1388" w:type="dxa"/>
          </w:tcPr>
          <w:p w14:paraId="637F629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Intra-frequency and inter-frequency measurements and reports</w:t>
            </w:r>
          </w:p>
          <w:p w14:paraId="28F55D6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Event A-based measurement and measurement report</w:t>
            </w:r>
          </w:p>
        </w:tc>
        <w:tc>
          <w:tcPr>
            <w:tcW w:w="1068" w:type="dxa"/>
          </w:tcPr>
          <w:p w14:paraId="680DBEA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7258761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1) </w:t>
            </w:r>
            <w:r w:rsidRPr="00E60A9C">
              <w:rPr>
                <w:rFonts w:ascii="Arial" w:eastAsia="Times New Roman" w:hAnsi="Arial"/>
                <w:i/>
                <w:sz w:val="18"/>
              </w:rPr>
              <w:t>intraAndInterF-MeasAndReport</w:t>
            </w:r>
          </w:p>
          <w:p w14:paraId="46B6631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2) </w:t>
            </w:r>
            <w:r w:rsidRPr="00E60A9C">
              <w:rPr>
                <w:rFonts w:ascii="Arial" w:eastAsia="Times New Roman" w:hAnsi="Arial"/>
                <w:i/>
                <w:sz w:val="18"/>
              </w:rPr>
              <w:t>eventA-MeasAndReport</w:t>
            </w:r>
          </w:p>
        </w:tc>
        <w:tc>
          <w:tcPr>
            <w:tcW w:w="1876" w:type="dxa"/>
          </w:tcPr>
          <w:p w14:paraId="5E05099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i/>
                <w:sz w:val="18"/>
              </w:rPr>
            </w:pPr>
            <w:r w:rsidRPr="00E60A9C">
              <w:rPr>
                <w:rFonts w:ascii="Arial" w:eastAsia="Times New Roman" w:hAnsi="Arial"/>
                <w:i/>
                <w:sz w:val="18"/>
              </w:rPr>
              <w:t>MeasAndMobParametersXDD-Diff</w:t>
            </w:r>
          </w:p>
        </w:tc>
        <w:tc>
          <w:tcPr>
            <w:tcW w:w="1199" w:type="dxa"/>
          </w:tcPr>
          <w:p w14:paraId="024E506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Yes</w:t>
            </w:r>
          </w:p>
        </w:tc>
        <w:tc>
          <w:tcPr>
            <w:tcW w:w="1199" w:type="dxa"/>
          </w:tcPr>
          <w:p w14:paraId="116E879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216" w:type="dxa"/>
          </w:tcPr>
          <w:p w14:paraId="5855348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601" w:type="dxa"/>
          </w:tcPr>
          <w:p w14:paraId="57CC189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 capability signalling when EN-DC is configured. Mandatory without capability signalling for NR SA.</w:t>
            </w:r>
          </w:p>
        </w:tc>
      </w:tr>
      <w:tr w:rsidR="00E60A9C" w:rsidRPr="00E60A9C" w14:paraId="1314003C" w14:textId="77777777" w:rsidTr="0089070B">
        <w:tc>
          <w:tcPr>
            <w:tcW w:w="993" w:type="dxa"/>
            <w:vMerge/>
          </w:tcPr>
          <w:p w14:paraId="6EE4CD9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8" w:type="dxa"/>
          </w:tcPr>
          <w:p w14:paraId="5AAEF92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4-2</w:t>
            </w:r>
          </w:p>
        </w:tc>
        <w:tc>
          <w:tcPr>
            <w:tcW w:w="1191" w:type="dxa"/>
          </w:tcPr>
          <w:p w14:paraId="059875E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Inter-NR measurement and reports while in LTE connected</w:t>
            </w:r>
          </w:p>
        </w:tc>
        <w:tc>
          <w:tcPr>
            <w:tcW w:w="1388" w:type="dxa"/>
          </w:tcPr>
          <w:p w14:paraId="44EEFB2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NR measurement and reports while in LTE connected</w:t>
            </w:r>
          </w:p>
          <w:p w14:paraId="1F24D1E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Event B1-based measurement and reports while in LTE connected</w:t>
            </w:r>
          </w:p>
        </w:tc>
        <w:tc>
          <w:tcPr>
            <w:tcW w:w="1068" w:type="dxa"/>
          </w:tcPr>
          <w:p w14:paraId="6295EF4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2D0A290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876" w:type="dxa"/>
          </w:tcPr>
          <w:p w14:paraId="79D4B30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6FE50A4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40C9286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16" w:type="dxa"/>
          </w:tcPr>
          <w:p w14:paraId="0020D29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601" w:type="dxa"/>
          </w:tcPr>
          <w:p w14:paraId="063AA68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111FD4C5" w14:textId="77777777" w:rsidTr="0089070B">
        <w:tc>
          <w:tcPr>
            <w:tcW w:w="993" w:type="dxa"/>
            <w:vMerge w:val="restart"/>
          </w:tcPr>
          <w:p w14:paraId="0159C89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 SDAP</w:t>
            </w:r>
          </w:p>
        </w:tc>
        <w:tc>
          <w:tcPr>
            <w:tcW w:w="708" w:type="dxa"/>
          </w:tcPr>
          <w:p w14:paraId="6C7009E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5-1</w:t>
            </w:r>
          </w:p>
        </w:tc>
        <w:tc>
          <w:tcPr>
            <w:tcW w:w="1191" w:type="dxa"/>
          </w:tcPr>
          <w:p w14:paraId="2138ACF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QoS</w:t>
            </w:r>
          </w:p>
        </w:tc>
        <w:tc>
          <w:tcPr>
            <w:tcW w:w="1388" w:type="dxa"/>
          </w:tcPr>
          <w:p w14:paraId="165126E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Flow-based QoS</w:t>
            </w:r>
          </w:p>
          <w:p w14:paraId="424D255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Multiple flows to 1 DRB mapping</w:t>
            </w:r>
          </w:p>
          <w:p w14:paraId="249F06E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AS reflective QoS</w:t>
            </w:r>
          </w:p>
        </w:tc>
        <w:tc>
          <w:tcPr>
            <w:tcW w:w="1068" w:type="dxa"/>
          </w:tcPr>
          <w:p w14:paraId="03D9770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48B84BF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3) </w:t>
            </w:r>
            <w:r w:rsidRPr="00E60A9C">
              <w:rPr>
                <w:rFonts w:ascii="Arial" w:eastAsia="Times New Roman" w:hAnsi="Arial"/>
                <w:i/>
                <w:sz w:val="18"/>
              </w:rPr>
              <w:t>as-ReflectiveQoS</w:t>
            </w:r>
          </w:p>
        </w:tc>
        <w:tc>
          <w:tcPr>
            <w:tcW w:w="1876" w:type="dxa"/>
          </w:tcPr>
          <w:p w14:paraId="614634D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i/>
                <w:sz w:val="18"/>
              </w:rPr>
            </w:pPr>
            <w:r w:rsidRPr="00E60A9C">
              <w:rPr>
                <w:rFonts w:ascii="Arial" w:eastAsia="Times New Roman" w:hAnsi="Arial"/>
                <w:i/>
                <w:sz w:val="18"/>
              </w:rPr>
              <w:t>SDAP-Parameters</w:t>
            </w:r>
          </w:p>
        </w:tc>
        <w:tc>
          <w:tcPr>
            <w:tcW w:w="1199" w:type="dxa"/>
          </w:tcPr>
          <w:p w14:paraId="5D650EB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199" w:type="dxa"/>
          </w:tcPr>
          <w:p w14:paraId="08F265B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216" w:type="dxa"/>
          </w:tcPr>
          <w:p w14:paraId="5633D74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SA only</w:t>
            </w:r>
          </w:p>
        </w:tc>
        <w:tc>
          <w:tcPr>
            <w:tcW w:w="1601" w:type="dxa"/>
          </w:tcPr>
          <w:p w14:paraId="1DD7479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2) Mandatory without capability signalling</w:t>
            </w:r>
          </w:p>
          <w:p w14:paraId="66E2428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Optional with capability signalling</w:t>
            </w:r>
          </w:p>
        </w:tc>
      </w:tr>
      <w:tr w:rsidR="00E60A9C" w:rsidRPr="00E60A9C" w14:paraId="0BED4D53" w14:textId="77777777" w:rsidTr="0089070B">
        <w:tc>
          <w:tcPr>
            <w:tcW w:w="993" w:type="dxa"/>
            <w:vMerge/>
          </w:tcPr>
          <w:p w14:paraId="0D32503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8" w:type="dxa"/>
          </w:tcPr>
          <w:p w14:paraId="5E3C7F8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5-2</w:t>
            </w:r>
          </w:p>
        </w:tc>
        <w:tc>
          <w:tcPr>
            <w:tcW w:w="1191" w:type="dxa"/>
          </w:tcPr>
          <w:p w14:paraId="51F67D8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HD format</w:t>
            </w:r>
          </w:p>
        </w:tc>
        <w:tc>
          <w:tcPr>
            <w:tcW w:w="1388" w:type="dxa"/>
          </w:tcPr>
          <w:p w14:paraId="783A38B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DL SDAP HD</w:t>
            </w:r>
          </w:p>
          <w:p w14:paraId="6C9EF02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UL SDAP HD</w:t>
            </w:r>
          </w:p>
          <w:p w14:paraId="286F745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SDAP End-marker</w:t>
            </w:r>
          </w:p>
        </w:tc>
        <w:tc>
          <w:tcPr>
            <w:tcW w:w="1068" w:type="dxa"/>
          </w:tcPr>
          <w:p w14:paraId="56CDF5C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365BCA6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876" w:type="dxa"/>
          </w:tcPr>
          <w:p w14:paraId="7A6FF6A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34574C5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1417E13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16" w:type="dxa"/>
          </w:tcPr>
          <w:p w14:paraId="73271B3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SA only</w:t>
            </w:r>
          </w:p>
        </w:tc>
        <w:tc>
          <w:tcPr>
            <w:tcW w:w="1601" w:type="dxa"/>
          </w:tcPr>
          <w:p w14:paraId="3E4C2E4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Conditional mandatory if either NAS reflective QoS or AS reflective QoS is supported.  No capability signalling is needed.</w:t>
            </w:r>
          </w:p>
          <w:p w14:paraId="0B991CA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3) Mandatory without capability signalling</w:t>
            </w:r>
          </w:p>
        </w:tc>
      </w:tr>
      <w:tr w:rsidR="00E60A9C" w:rsidRPr="00E60A9C" w14:paraId="1B143F04" w14:textId="77777777" w:rsidTr="0089070B">
        <w:tc>
          <w:tcPr>
            <w:tcW w:w="993" w:type="dxa"/>
          </w:tcPr>
          <w:p w14:paraId="29BC190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 Mobility</w:t>
            </w:r>
          </w:p>
        </w:tc>
        <w:tc>
          <w:tcPr>
            <w:tcW w:w="708" w:type="dxa"/>
          </w:tcPr>
          <w:p w14:paraId="3019245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7-1</w:t>
            </w:r>
          </w:p>
        </w:tc>
        <w:tc>
          <w:tcPr>
            <w:tcW w:w="1191" w:type="dxa"/>
          </w:tcPr>
          <w:p w14:paraId="4F95098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Handover</w:t>
            </w:r>
          </w:p>
        </w:tc>
        <w:tc>
          <w:tcPr>
            <w:tcW w:w="1388" w:type="dxa"/>
          </w:tcPr>
          <w:p w14:paraId="239B890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Intra-frequency HO</w:t>
            </w:r>
          </w:p>
          <w:p w14:paraId="20E4136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Inter-frequency HO</w:t>
            </w:r>
          </w:p>
          <w:p w14:paraId="68CA268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HO between TDD and FDD</w:t>
            </w:r>
          </w:p>
          <w:p w14:paraId="2E359C8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HO from NR to LTE</w:t>
            </w:r>
          </w:p>
          <w:p w14:paraId="59C3C94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5) HO from NR to LTE with 5GC</w:t>
            </w:r>
          </w:p>
          <w:p w14:paraId="470E876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 HO between FR1 and FR2</w:t>
            </w:r>
          </w:p>
        </w:tc>
        <w:tc>
          <w:tcPr>
            <w:tcW w:w="1068" w:type="dxa"/>
          </w:tcPr>
          <w:p w14:paraId="136C907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46EF2B9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2) </w:t>
            </w:r>
            <w:r w:rsidRPr="00E60A9C">
              <w:rPr>
                <w:rFonts w:ascii="Arial" w:eastAsia="Times New Roman" w:hAnsi="Arial"/>
                <w:i/>
                <w:sz w:val="18"/>
              </w:rPr>
              <w:t>handoverInterF</w:t>
            </w:r>
          </w:p>
          <w:p w14:paraId="60679A6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3) </w:t>
            </w:r>
            <w:r w:rsidRPr="00E60A9C">
              <w:rPr>
                <w:rFonts w:ascii="Arial" w:eastAsia="Times New Roman" w:hAnsi="Arial"/>
                <w:i/>
                <w:sz w:val="18"/>
              </w:rPr>
              <w:t>handoverFDD-TDD</w:t>
            </w:r>
          </w:p>
          <w:p w14:paraId="019ACF1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4) </w:t>
            </w:r>
            <w:r w:rsidRPr="00E60A9C">
              <w:rPr>
                <w:rFonts w:ascii="Arial" w:eastAsia="Times New Roman" w:hAnsi="Arial"/>
                <w:i/>
                <w:sz w:val="18"/>
              </w:rPr>
              <w:t>handoverLTE-EPC</w:t>
            </w:r>
          </w:p>
          <w:p w14:paraId="2B065F6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5) </w:t>
            </w:r>
            <w:r w:rsidRPr="00E60A9C">
              <w:rPr>
                <w:rFonts w:ascii="Arial" w:eastAsia="Times New Roman" w:hAnsi="Arial"/>
                <w:i/>
                <w:sz w:val="18"/>
              </w:rPr>
              <w:t>handover-LTE-5GC</w:t>
            </w:r>
          </w:p>
          <w:p w14:paraId="2E86839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6) </w:t>
            </w:r>
            <w:r w:rsidRPr="00E60A9C">
              <w:rPr>
                <w:rFonts w:ascii="Arial" w:eastAsia="Times New Roman" w:hAnsi="Arial"/>
                <w:i/>
                <w:sz w:val="18"/>
              </w:rPr>
              <w:t>handoverFR1-FR2</w:t>
            </w:r>
          </w:p>
        </w:tc>
        <w:tc>
          <w:tcPr>
            <w:tcW w:w="1876" w:type="dxa"/>
          </w:tcPr>
          <w:p w14:paraId="79729A9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3), 6) </w:t>
            </w:r>
            <w:r w:rsidRPr="00E60A9C">
              <w:rPr>
                <w:rFonts w:ascii="Arial" w:eastAsia="Times New Roman" w:hAnsi="Arial"/>
                <w:i/>
                <w:sz w:val="18"/>
              </w:rPr>
              <w:t>MeasAndMobParametersCommon</w:t>
            </w:r>
          </w:p>
          <w:p w14:paraId="3CA1A8E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 xml:space="preserve">2), 4), 5) </w:t>
            </w:r>
            <w:r w:rsidRPr="00E60A9C">
              <w:rPr>
                <w:rFonts w:ascii="Arial" w:eastAsia="Times New Roman" w:hAnsi="Arial"/>
                <w:i/>
                <w:sz w:val="18"/>
              </w:rPr>
              <w:t>MeasAndMobParametersXDD-Diff</w:t>
            </w:r>
            <w:r w:rsidRPr="00E60A9C">
              <w:rPr>
                <w:rFonts w:ascii="Arial" w:eastAsia="Times New Roman" w:hAnsi="Arial"/>
                <w:sz w:val="18"/>
              </w:rPr>
              <w:t xml:space="preserve"> and </w:t>
            </w:r>
            <w:r w:rsidRPr="00E60A9C">
              <w:rPr>
                <w:rFonts w:ascii="Arial" w:eastAsia="Times New Roman" w:hAnsi="Arial"/>
                <w:i/>
                <w:sz w:val="18"/>
              </w:rPr>
              <w:t>MeasAndMobParametersFRX-Diff</w:t>
            </w:r>
          </w:p>
        </w:tc>
        <w:tc>
          <w:tcPr>
            <w:tcW w:w="1199" w:type="dxa"/>
          </w:tcPr>
          <w:p w14:paraId="20D9628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3), 6) No</w:t>
            </w:r>
          </w:p>
          <w:p w14:paraId="4EA5F99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4), 5) Yes</w:t>
            </w:r>
          </w:p>
        </w:tc>
        <w:tc>
          <w:tcPr>
            <w:tcW w:w="1199" w:type="dxa"/>
          </w:tcPr>
          <w:p w14:paraId="5064C4D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3), 6) No</w:t>
            </w:r>
          </w:p>
          <w:p w14:paraId="44E01B4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4), 5) Yes</w:t>
            </w:r>
          </w:p>
        </w:tc>
        <w:tc>
          <w:tcPr>
            <w:tcW w:w="1216" w:type="dxa"/>
          </w:tcPr>
          <w:p w14:paraId="6484902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SA only</w:t>
            </w:r>
          </w:p>
        </w:tc>
        <w:tc>
          <w:tcPr>
            <w:tcW w:w="1601" w:type="dxa"/>
          </w:tcPr>
          <w:p w14:paraId="4C9BC61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Mandatory without capability signalling</w:t>
            </w:r>
          </w:p>
          <w:p w14:paraId="0F0B65F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Mandatory with capability signalling</w:t>
            </w:r>
          </w:p>
          <w:p w14:paraId="4353164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Mandatory with capability signalling if the UE supports both TDD and FDD.</w:t>
            </w:r>
          </w:p>
          <w:p w14:paraId="658BB84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and 5) Mandatory with capability signalling if the UE supports the associated RAT.</w:t>
            </w:r>
          </w:p>
          <w:p w14:paraId="3C2964F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 Mandatory with capability signalling if the UE supports both FR1 and FR2.</w:t>
            </w:r>
          </w:p>
        </w:tc>
      </w:tr>
      <w:tr w:rsidR="00E60A9C" w:rsidRPr="00E60A9C" w14:paraId="363EEDA3" w14:textId="77777777" w:rsidTr="0089070B">
        <w:tc>
          <w:tcPr>
            <w:tcW w:w="993" w:type="dxa"/>
          </w:tcPr>
          <w:p w14:paraId="72C22EA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8. Idle/inactive UE procedures</w:t>
            </w:r>
          </w:p>
        </w:tc>
        <w:tc>
          <w:tcPr>
            <w:tcW w:w="708" w:type="dxa"/>
          </w:tcPr>
          <w:p w14:paraId="1E84B15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8-1</w:t>
            </w:r>
          </w:p>
        </w:tc>
        <w:tc>
          <w:tcPr>
            <w:tcW w:w="1191" w:type="dxa"/>
          </w:tcPr>
          <w:p w14:paraId="6393DCA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System information acquisition</w:t>
            </w:r>
          </w:p>
        </w:tc>
        <w:tc>
          <w:tcPr>
            <w:tcW w:w="1388" w:type="dxa"/>
          </w:tcPr>
          <w:p w14:paraId="3A85A7A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Msg.1 based on-demand SI provisioning</w:t>
            </w:r>
          </w:p>
          <w:p w14:paraId="347E4E9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Msg.3 based on-demand SI provisioning</w:t>
            </w:r>
          </w:p>
        </w:tc>
        <w:tc>
          <w:tcPr>
            <w:tcW w:w="1068" w:type="dxa"/>
          </w:tcPr>
          <w:p w14:paraId="6C9AFB2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1" w:type="dxa"/>
          </w:tcPr>
          <w:p w14:paraId="10A12B3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876" w:type="dxa"/>
          </w:tcPr>
          <w:p w14:paraId="1204553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4B46169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199" w:type="dxa"/>
          </w:tcPr>
          <w:p w14:paraId="5ADC8E9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216" w:type="dxa"/>
          </w:tcPr>
          <w:p w14:paraId="5A582A5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SA only</w:t>
            </w:r>
          </w:p>
        </w:tc>
        <w:tc>
          <w:tcPr>
            <w:tcW w:w="1601" w:type="dxa"/>
          </w:tcPr>
          <w:p w14:paraId="035D883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bl>
    <w:p w14:paraId="272F4947" w14:textId="77777777" w:rsidR="00E60A9C" w:rsidRPr="00E60A9C" w:rsidRDefault="00E60A9C" w:rsidP="00E60A9C">
      <w:pPr>
        <w:overflowPunct w:val="0"/>
        <w:autoSpaceDE w:val="0"/>
        <w:autoSpaceDN w:val="0"/>
        <w:adjustRightInd w:val="0"/>
        <w:spacing w:after="180"/>
        <w:textAlignment w:val="baseline"/>
        <w:rPr>
          <w:rFonts w:eastAsia="Times New Roman"/>
          <w:i/>
          <w:sz w:val="20"/>
        </w:rPr>
      </w:pPr>
    </w:p>
    <w:p w14:paraId="5C1AF212" w14:textId="08BA8775" w:rsidR="00E60A9C" w:rsidRPr="00E60A9C" w:rsidRDefault="0089070B" w:rsidP="00E60A9C">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rPr>
      </w:pPr>
      <w:bookmarkStart w:id="5" w:name="_Toc12574267"/>
      <w:r>
        <w:rPr>
          <w:rFonts w:ascii="Arial" w:eastAsia="Times New Roman" w:hAnsi="Arial"/>
          <w:sz w:val="32"/>
        </w:rPr>
        <w:t>A</w:t>
      </w:r>
      <w:r w:rsidR="00E60A9C" w:rsidRPr="00E60A9C">
        <w:rPr>
          <w:rFonts w:ascii="Arial" w:eastAsia="Times New Roman" w:hAnsi="Arial"/>
          <w:sz w:val="32"/>
        </w:rPr>
        <w:t>.3</w:t>
      </w:r>
      <w:r w:rsidR="00E60A9C" w:rsidRPr="00E60A9C">
        <w:rPr>
          <w:rFonts w:ascii="Arial" w:eastAsia="Times New Roman" w:hAnsi="Arial"/>
          <w:sz w:val="32"/>
        </w:rPr>
        <w:tab/>
        <w:t>RF and RRM features</w:t>
      </w:r>
      <w:bookmarkEnd w:id="5"/>
    </w:p>
    <w:p w14:paraId="10C58F1C" w14:textId="150A3B69" w:rsidR="00E60A9C" w:rsidRPr="00E60A9C" w:rsidRDefault="00E60A9C" w:rsidP="00E60A9C">
      <w:pPr>
        <w:overflowPunct w:val="0"/>
        <w:autoSpaceDE w:val="0"/>
        <w:autoSpaceDN w:val="0"/>
        <w:adjustRightInd w:val="0"/>
        <w:spacing w:after="180"/>
        <w:textAlignment w:val="baseline"/>
        <w:rPr>
          <w:rFonts w:eastAsia="Times New Roman"/>
          <w:sz w:val="20"/>
        </w:rPr>
      </w:pPr>
      <w:r w:rsidRPr="00E60A9C">
        <w:rPr>
          <w:rFonts w:eastAsia="Times New Roman"/>
          <w:sz w:val="20"/>
        </w:rPr>
        <w:t xml:space="preserve">Table </w:t>
      </w:r>
      <w:r w:rsidR="0089070B">
        <w:rPr>
          <w:rFonts w:eastAsia="Times New Roman"/>
          <w:sz w:val="20"/>
        </w:rPr>
        <w:t>A</w:t>
      </w:r>
      <w:r w:rsidRPr="00E60A9C">
        <w:rPr>
          <w:rFonts w:eastAsia="Times New Roman"/>
          <w:sz w:val="20"/>
        </w:rPr>
        <w:t>.3-1 provides the list of RF and RRM features, as shown in [</w:t>
      </w:r>
      <w:r w:rsidR="0089070B">
        <w:rPr>
          <w:rFonts w:eastAsia="Times New Roman"/>
          <w:sz w:val="20"/>
        </w:rPr>
        <w:t>6</w:t>
      </w:r>
      <w:r w:rsidRPr="00E60A9C">
        <w:rPr>
          <w:rFonts w:eastAsia="Times New Roman"/>
          <w:sz w:val="20"/>
        </w:rPr>
        <w:t>] and the corresponding UE capability field name, as specified in TS 38.331 [</w:t>
      </w:r>
      <w:r w:rsidR="0089070B">
        <w:rPr>
          <w:rFonts w:eastAsia="Times New Roman"/>
          <w:sz w:val="20"/>
        </w:rPr>
        <w:t>4</w:t>
      </w:r>
      <w:r w:rsidRPr="00E60A9C">
        <w:rPr>
          <w:rFonts w:eastAsia="Times New Roman"/>
          <w:sz w:val="20"/>
        </w:rPr>
        <w:t>].</w:t>
      </w:r>
    </w:p>
    <w:p w14:paraId="060FCE3D" w14:textId="47926884" w:rsidR="00E60A9C" w:rsidRPr="00E60A9C" w:rsidRDefault="00E60A9C" w:rsidP="00E60A9C">
      <w:pPr>
        <w:keepNext/>
        <w:keepLines/>
        <w:overflowPunct w:val="0"/>
        <w:autoSpaceDE w:val="0"/>
        <w:autoSpaceDN w:val="0"/>
        <w:adjustRightInd w:val="0"/>
        <w:spacing w:before="60" w:after="180"/>
        <w:jc w:val="center"/>
        <w:textAlignment w:val="baseline"/>
        <w:rPr>
          <w:rFonts w:ascii="Arial" w:eastAsia="Times New Roman" w:hAnsi="Arial"/>
          <w:b/>
          <w:sz w:val="20"/>
        </w:rPr>
      </w:pPr>
      <w:r w:rsidRPr="00E60A9C">
        <w:rPr>
          <w:rFonts w:ascii="Arial" w:eastAsia="Times New Roman" w:hAnsi="Arial"/>
          <w:b/>
          <w:sz w:val="20"/>
        </w:rPr>
        <w:t xml:space="preserve">Table </w:t>
      </w:r>
      <w:r w:rsidR="0089070B">
        <w:rPr>
          <w:rFonts w:ascii="Arial" w:eastAsia="Times New Roman" w:hAnsi="Arial"/>
          <w:b/>
          <w:sz w:val="20"/>
        </w:rPr>
        <w:t>A</w:t>
      </w:r>
      <w:r w:rsidRPr="00E60A9C">
        <w:rPr>
          <w:rFonts w:ascii="Arial" w:eastAsia="Times New Roman" w:hAnsi="Arial"/>
          <w:b/>
          <w:sz w:val="20"/>
        </w:rPr>
        <w:t>.3-1:</w:t>
      </w:r>
      <w:r w:rsidRPr="00E60A9C">
        <w:rPr>
          <w:rFonts w:ascii="Arial" w:eastAsia="Times New Roman" w:hAnsi="Arial"/>
          <w:b/>
          <w:sz w:val="20"/>
        </w:rPr>
        <w:tab/>
        <w:t>RF and RRM feature list</w:t>
      </w:r>
    </w:p>
    <w:tbl>
      <w:tblPr>
        <w:tblW w:w="0" w:type="auto"/>
        <w:tblLayout w:type="fixed"/>
        <w:tblLook w:val="04A0" w:firstRow="1" w:lastRow="0" w:firstColumn="1" w:lastColumn="0" w:noHBand="0" w:noVBand="1"/>
      </w:tblPr>
      <w:tblGrid>
        <w:gridCol w:w="851"/>
        <w:gridCol w:w="709"/>
        <w:gridCol w:w="1184"/>
        <w:gridCol w:w="1286"/>
        <w:gridCol w:w="1229"/>
        <w:gridCol w:w="1151"/>
        <w:gridCol w:w="1609"/>
        <w:gridCol w:w="1384"/>
        <w:gridCol w:w="1384"/>
        <w:gridCol w:w="1609"/>
        <w:gridCol w:w="1862"/>
      </w:tblGrid>
      <w:tr w:rsidR="00E60A9C" w:rsidRPr="00E60A9C" w14:paraId="7993DE08" w14:textId="77777777" w:rsidTr="0089070B">
        <w:tc>
          <w:tcPr>
            <w:tcW w:w="851" w:type="dxa"/>
          </w:tcPr>
          <w:p w14:paraId="27679BF4"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Features</w:t>
            </w:r>
          </w:p>
        </w:tc>
        <w:tc>
          <w:tcPr>
            <w:tcW w:w="709" w:type="dxa"/>
          </w:tcPr>
          <w:p w14:paraId="4CD6B668"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Index</w:t>
            </w:r>
          </w:p>
        </w:tc>
        <w:tc>
          <w:tcPr>
            <w:tcW w:w="1184" w:type="dxa"/>
          </w:tcPr>
          <w:p w14:paraId="64209AA8"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Feature group</w:t>
            </w:r>
          </w:p>
        </w:tc>
        <w:tc>
          <w:tcPr>
            <w:tcW w:w="1286" w:type="dxa"/>
          </w:tcPr>
          <w:p w14:paraId="51DA07EE"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Components</w:t>
            </w:r>
          </w:p>
        </w:tc>
        <w:tc>
          <w:tcPr>
            <w:tcW w:w="1229" w:type="dxa"/>
          </w:tcPr>
          <w:p w14:paraId="346F1AB1"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Prerequisite feature groups</w:t>
            </w:r>
          </w:p>
        </w:tc>
        <w:tc>
          <w:tcPr>
            <w:tcW w:w="1151" w:type="dxa"/>
          </w:tcPr>
          <w:p w14:paraId="255FBAFD" w14:textId="479DF85D" w:rsidR="00E60A9C" w:rsidRPr="00E60A9C" w:rsidRDefault="00E60A9C" w:rsidP="0089070B">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Field name in TS 38.331 [</w:t>
            </w:r>
            <w:r w:rsidR="0089070B">
              <w:rPr>
                <w:rFonts w:ascii="Arial" w:eastAsia="Times New Roman" w:hAnsi="Arial"/>
                <w:b/>
                <w:sz w:val="18"/>
              </w:rPr>
              <w:t>4</w:t>
            </w:r>
            <w:r w:rsidRPr="00E60A9C">
              <w:rPr>
                <w:rFonts w:ascii="Arial" w:eastAsia="Times New Roman" w:hAnsi="Arial"/>
                <w:b/>
                <w:sz w:val="18"/>
              </w:rPr>
              <w:t>]</w:t>
            </w:r>
          </w:p>
        </w:tc>
        <w:tc>
          <w:tcPr>
            <w:tcW w:w="1609" w:type="dxa"/>
          </w:tcPr>
          <w:p w14:paraId="649548B6" w14:textId="4FD8942D" w:rsidR="00E60A9C" w:rsidRPr="00E60A9C" w:rsidRDefault="00E60A9C" w:rsidP="0089070B">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Parent IE in TS 38.331 [</w:t>
            </w:r>
            <w:r w:rsidR="0089070B">
              <w:rPr>
                <w:rFonts w:ascii="Arial" w:eastAsia="Times New Roman" w:hAnsi="Arial"/>
                <w:b/>
                <w:sz w:val="18"/>
              </w:rPr>
              <w:t>4</w:t>
            </w:r>
            <w:r w:rsidRPr="00E60A9C">
              <w:rPr>
                <w:rFonts w:ascii="Arial" w:eastAsia="Times New Roman" w:hAnsi="Arial"/>
                <w:b/>
                <w:sz w:val="18"/>
              </w:rPr>
              <w:t>]</w:t>
            </w:r>
          </w:p>
        </w:tc>
        <w:tc>
          <w:tcPr>
            <w:tcW w:w="1384" w:type="dxa"/>
          </w:tcPr>
          <w:p w14:paraId="4E134EED"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Need of FDD/TDD differentiation</w:t>
            </w:r>
          </w:p>
        </w:tc>
        <w:tc>
          <w:tcPr>
            <w:tcW w:w="1384" w:type="dxa"/>
          </w:tcPr>
          <w:p w14:paraId="55C7A7A6"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Need of FR1/FR2 differentiation</w:t>
            </w:r>
          </w:p>
        </w:tc>
        <w:tc>
          <w:tcPr>
            <w:tcW w:w="1609" w:type="dxa"/>
          </w:tcPr>
          <w:p w14:paraId="67776511" w14:textId="77777777"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Note</w:t>
            </w:r>
          </w:p>
        </w:tc>
        <w:tc>
          <w:tcPr>
            <w:tcW w:w="1862" w:type="dxa"/>
          </w:tcPr>
          <w:p w14:paraId="5C662BB4" w14:textId="77777777" w:rsidR="0089070B"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Mandatory</w:t>
            </w:r>
          </w:p>
          <w:p w14:paraId="6A6D2E3E" w14:textId="56A78290" w:rsidR="00E60A9C" w:rsidRPr="00E60A9C" w:rsidRDefault="00E60A9C" w:rsidP="00E60A9C">
            <w:pPr>
              <w:keepNext/>
              <w:keepLines/>
              <w:overflowPunct w:val="0"/>
              <w:autoSpaceDE w:val="0"/>
              <w:autoSpaceDN w:val="0"/>
              <w:adjustRightInd w:val="0"/>
              <w:jc w:val="center"/>
              <w:textAlignment w:val="baseline"/>
              <w:rPr>
                <w:rFonts w:ascii="Arial" w:eastAsia="Times New Roman" w:hAnsi="Arial"/>
                <w:b/>
                <w:sz w:val="18"/>
              </w:rPr>
            </w:pPr>
            <w:r w:rsidRPr="00E60A9C">
              <w:rPr>
                <w:rFonts w:ascii="Arial" w:eastAsia="Times New Roman" w:hAnsi="Arial"/>
                <w:b/>
                <w:sz w:val="18"/>
              </w:rPr>
              <w:t>/Optional</w:t>
            </w:r>
          </w:p>
        </w:tc>
      </w:tr>
      <w:tr w:rsidR="00E60A9C" w:rsidRPr="00E60A9C" w14:paraId="1A130EA5" w14:textId="77777777" w:rsidTr="0089070B">
        <w:tc>
          <w:tcPr>
            <w:tcW w:w="851" w:type="dxa"/>
            <w:vMerge w:val="restart"/>
          </w:tcPr>
          <w:p w14:paraId="38B9CD1F" w14:textId="77777777" w:rsidR="00E60A9C" w:rsidRPr="00E60A9C" w:rsidRDefault="00E60A9C" w:rsidP="00E60A9C">
            <w:pPr>
              <w:keepNext/>
              <w:keepLines/>
              <w:overflowPunct w:val="0"/>
              <w:autoSpaceDE w:val="0"/>
              <w:autoSpaceDN w:val="0"/>
              <w:adjustRightInd w:val="0"/>
              <w:textAlignment w:val="baseline"/>
              <w:rPr>
                <w:rFonts w:ascii="Arial" w:eastAsia="Yu Mincho" w:hAnsi="Arial"/>
                <w:sz w:val="18"/>
              </w:rPr>
            </w:pPr>
            <w:r w:rsidRPr="00E60A9C">
              <w:rPr>
                <w:rFonts w:ascii="Arial" w:eastAsia="Times New Roman" w:hAnsi="Arial"/>
                <w:sz w:val="18"/>
              </w:rPr>
              <w:t>1. System parameter</w:t>
            </w:r>
          </w:p>
        </w:tc>
        <w:tc>
          <w:tcPr>
            <w:tcW w:w="709" w:type="dxa"/>
          </w:tcPr>
          <w:p w14:paraId="4AFEED9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1-2</w:t>
            </w:r>
          </w:p>
        </w:tc>
        <w:tc>
          <w:tcPr>
            <w:tcW w:w="1184" w:type="dxa"/>
          </w:tcPr>
          <w:p w14:paraId="30EE613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64QAM modulation for FR2 PDSCH</w:t>
            </w:r>
          </w:p>
        </w:tc>
        <w:tc>
          <w:tcPr>
            <w:tcW w:w="1286" w:type="dxa"/>
          </w:tcPr>
          <w:p w14:paraId="4414A29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64QAM modulation for FR2 PDSCH</w:t>
            </w:r>
          </w:p>
        </w:tc>
        <w:tc>
          <w:tcPr>
            <w:tcW w:w="1229" w:type="dxa"/>
          </w:tcPr>
          <w:p w14:paraId="66AE87B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151" w:type="dxa"/>
          </w:tcPr>
          <w:p w14:paraId="50998A4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609" w:type="dxa"/>
          </w:tcPr>
          <w:p w14:paraId="2D5A262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84" w:type="dxa"/>
          </w:tcPr>
          <w:p w14:paraId="76774D2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384" w:type="dxa"/>
          </w:tcPr>
          <w:p w14:paraId="59D7FC4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Applicable only to FR2</w:t>
            </w:r>
          </w:p>
        </w:tc>
        <w:tc>
          <w:tcPr>
            <w:tcW w:w="1609" w:type="dxa"/>
          </w:tcPr>
          <w:p w14:paraId="4DF7111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Capability can be discussed in future, e.g. when low cost device (e.g. IoT) and/or higher frequency band in FR2 are introduced</w:t>
            </w:r>
          </w:p>
        </w:tc>
        <w:tc>
          <w:tcPr>
            <w:tcW w:w="1862" w:type="dxa"/>
          </w:tcPr>
          <w:p w14:paraId="1A5716D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2E5A189A" w14:textId="77777777" w:rsidTr="0089070B">
        <w:tc>
          <w:tcPr>
            <w:tcW w:w="851" w:type="dxa"/>
            <w:vMerge/>
          </w:tcPr>
          <w:p w14:paraId="682584B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9" w:type="dxa"/>
          </w:tcPr>
          <w:p w14:paraId="02604F5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1-3</w:t>
            </w:r>
          </w:p>
        </w:tc>
        <w:tc>
          <w:tcPr>
            <w:tcW w:w="1184" w:type="dxa"/>
          </w:tcPr>
          <w:p w14:paraId="43D0C30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64QAM for PUSCH</w:t>
            </w:r>
          </w:p>
        </w:tc>
        <w:tc>
          <w:tcPr>
            <w:tcW w:w="1286" w:type="dxa"/>
          </w:tcPr>
          <w:p w14:paraId="3AD6B82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64QAM for PUSCH</w:t>
            </w:r>
          </w:p>
        </w:tc>
        <w:tc>
          <w:tcPr>
            <w:tcW w:w="1229" w:type="dxa"/>
          </w:tcPr>
          <w:p w14:paraId="5A630A5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151" w:type="dxa"/>
          </w:tcPr>
          <w:p w14:paraId="24901CC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609" w:type="dxa"/>
          </w:tcPr>
          <w:p w14:paraId="47AC8CC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84" w:type="dxa"/>
          </w:tcPr>
          <w:p w14:paraId="41A0A42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384" w:type="dxa"/>
          </w:tcPr>
          <w:p w14:paraId="4AC53B9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609" w:type="dxa"/>
          </w:tcPr>
          <w:p w14:paraId="0B8AD84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Capability can be discussed in future, e.g. when low cost device (e.g. IoT) and/or higher frequency band in FR2 are introduced</w:t>
            </w:r>
          </w:p>
        </w:tc>
        <w:tc>
          <w:tcPr>
            <w:tcW w:w="1862" w:type="dxa"/>
          </w:tcPr>
          <w:p w14:paraId="68981B3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0598ED23" w14:textId="77777777" w:rsidTr="0089070B">
        <w:tc>
          <w:tcPr>
            <w:tcW w:w="851" w:type="dxa"/>
            <w:vMerge/>
          </w:tcPr>
          <w:p w14:paraId="516EA82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9" w:type="dxa"/>
          </w:tcPr>
          <w:p w14:paraId="1D36DD8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1-11</w:t>
            </w:r>
          </w:p>
        </w:tc>
        <w:tc>
          <w:tcPr>
            <w:tcW w:w="1184" w:type="dxa"/>
          </w:tcPr>
          <w:p w14:paraId="5CDE593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7.5kHz UL raster shift</w:t>
            </w:r>
          </w:p>
        </w:tc>
        <w:tc>
          <w:tcPr>
            <w:tcW w:w="1286" w:type="dxa"/>
          </w:tcPr>
          <w:p w14:paraId="5910870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7.5kHz UL raster shift</w:t>
            </w:r>
          </w:p>
        </w:tc>
        <w:tc>
          <w:tcPr>
            <w:tcW w:w="1229" w:type="dxa"/>
          </w:tcPr>
          <w:p w14:paraId="6A18729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151" w:type="dxa"/>
          </w:tcPr>
          <w:p w14:paraId="46F1691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609" w:type="dxa"/>
          </w:tcPr>
          <w:p w14:paraId="36598DD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84" w:type="dxa"/>
          </w:tcPr>
          <w:p w14:paraId="24A26B6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384" w:type="dxa"/>
          </w:tcPr>
          <w:p w14:paraId="0600595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609" w:type="dxa"/>
          </w:tcPr>
          <w:p w14:paraId="56712F0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862" w:type="dxa"/>
          </w:tcPr>
          <w:p w14:paraId="4F26357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in the SUL bands with uplink sharing either from UE perspective or from network perspective</w:t>
            </w:r>
          </w:p>
          <w:p w14:paraId="07DE4E8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p w14:paraId="7678712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E60A9C" w:rsidRPr="00E60A9C" w14:paraId="4B75A6A6" w14:textId="77777777" w:rsidTr="0089070B">
        <w:trPr>
          <w:trHeight w:val="2070"/>
        </w:trPr>
        <w:tc>
          <w:tcPr>
            <w:tcW w:w="851" w:type="dxa"/>
            <w:vMerge/>
          </w:tcPr>
          <w:p w14:paraId="56CE0BC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9" w:type="dxa"/>
            <w:vMerge w:val="restart"/>
          </w:tcPr>
          <w:p w14:paraId="39A7277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2-8</w:t>
            </w:r>
          </w:p>
        </w:tc>
        <w:tc>
          <w:tcPr>
            <w:tcW w:w="1184" w:type="dxa"/>
            <w:vMerge w:val="restart"/>
          </w:tcPr>
          <w:p w14:paraId="5CA0D27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UE power class</w:t>
            </w:r>
          </w:p>
        </w:tc>
        <w:tc>
          <w:tcPr>
            <w:tcW w:w="1286" w:type="dxa"/>
            <w:vMerge w:val="restart"/>
          </w:tcPr>
          <w:p w14:paraId="20B73D2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1) Support of FR1 UE power class</w:t>
            </w:r>
          </w:p>
          <w:p w14:paraId="30B2E3A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 Support of FR2 UE power class</w:t>
            </w:r>
          </w:p>
          <w:p w14:paraId="59D4649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3) Support of FR1 UE power class for EN-DC</w:t>
            </w:r>
          </w:p>
          <w:p w14:paraId="4424F14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4) Support of FR1 UE power class for NR-CA</w:t>
            </w:r>
          </w:p>
        </w:tc>
        <w:tc>
          <w:tcPr>
            <w:tcW w:w="1229" w:type="dxa"/>
            <w:vMerge w:val="restart"/>
          </w:tcPr>
          <w:p w14:paraId="58489EC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151" w:type="dxa"/>
          </w:tcPr>
          <w:p w14:paraId="7501549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i/>
                <w:sz w:val="18"/>
              </w:rPr>
            </w:pPr>
            <w:r w:rsidRPr="00E60A9C">
              <w:rPr>
                <w:rFonts w:ascii="Arial" w:eastAsia="Times New Roman" w:hAnsi="Arial"/>
                <w:i/>
                <w:sz w:val="18"/>
              </w:rPr>
              <w:t>ue-PowerClass</w:t>
            </w:r>
          </w:p>
        </w:tc>
        <w:tc>
          <w:tcPr>
            <w:tcW w:w="1609" w:type="dxa"/>
          </w:tcPr>
          <w:p w14:paraId="4F18476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i/>
                <w:sz w:val="18"/>
              </w:rPr>
            </w:pPr>
            <w:r w:rsidRPr="00E60A9C">
              <w:rPr>
                <w:rFonts w:ascii="Arial" w:eastAsia="Times New Roman" w:hAnsi="Arial"/>
                <w:i/>
                <w:sz w:val="18"/>
              </w:rPr>
              <w:t>BandNR</w:t>
            </w:r>
          </w:p>
        </w:tc>
        <w:tc>
          <w:tcPr>
            <w:tcW w:w="1384" w:type="dxa"/>
            <w:vMerge w:val="restart"/>
          </w:tcPr>
          <w:p w14:paraId="71782D2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384" w:type="dxa"/>
            <w:vMerge w:val="restart"/>
          </w:tcPr>
          <w:p w14:paraId="2A684EB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609" w:type="dxa"/>
            <w:vMerge w:val="restart"/>
          </w:tcPr>
          <w:p w14:paraId="7EA0828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Capability signalling</w:t>
            </w:r>
          </w:p>
          <w:p w14:paraId="6EBCF3F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w:t>
            </w:r>
            <w:r w:rsidRPr="00E60A9C">
              <w:rPr>
                <w:rFonts w:ascii="Arial" w:eastAsia="Times New Roman" w:hAnsi="Arial"/>
                <w:sz w:val="18"/>
              </w:rPr>
              <w:tab/>
              <w:t>FR1 UE power class (per band)</w:t>
            </w:r>
          </w:p>
          <w:p w14:paraId="61E7890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w:t>
            </w:r>
            <w:r w:rsidRPr="00E60A9C">
              <w:rPr>
                <w:rFonts w:ascii="Arial" w:eastAsia="Times New Roman" w:hAnsi="Arial"/>
                <w:sz w:val="18"/>
              </w:rPr>
              <w:tab/>
              <w:t>FR2 UE power class (per band)</w:t>
            </w:r>
          </w:p>
          <w:p w14:paraId="0A80534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w:t>
            </w:r>
            <w:r w:rsidRPr="00E60A9C">
              <w:rPr>
                <w:rFonts w:ascii="Arial" w:eastAsia="Times New Roman" w:hAnsi="Arial"/>
                <w:sz w:val="18"/>
              </w:rPr>
              <w:tab/>
              <w:t>FR1 UE power class for EN-DC (per band combination)</w:t>
            </w:r>
          </w:p>
          <w:p w14:paraId="7807385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w:t>
            </w:r>
            <w:r w:rsidRPr="00E60A9C">
              <w:rPr>
                <w:rFonts w:ascii="Arial" w:eastAsia="Times New Roman" w:hAnsi="Arial"/>
                <w:sz w:val="18"/>
              </w:rPr>
              <w:tab/>
              <w:t>FR1 UE power class for NR CA (per band combination)</w:t>
            </w:r>
          </w:p>
          <w:p w14:paraId="480A076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p w14:paraId="43CAB62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Default power class for each component is indicated in TS38.101-1/2/3. If the default power class is not indicated, UE shall report supported power class. The component 2) is also used as power class for intra-band NR-CA in FR2</w:t>
            </w:r>
          </w:p>
        </w:tc>
        <w:tc>
          <w:tcPr>
            <w:tcW w:w="1862" w:type="dxa"/>
            <w:vMerge w:val="restart"/>
          </w:tcPr>
          <w:p w14:paraId="52BA2DA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to support at least one power class with capability. The capability signalling is absent if UE supports only default power class</w:t>
            </w:r>
          </w:p>
        </w:tc>
      </w:tr>
      <w:tr w:rsidR="00E60A9C" w:rsidRPr="00E60A9C" w14:paraId="0969D20F" w14:textId="77777777" w:rsidTr="0089070B">
        <w:trPr>
          <w:trHeight w:val="2265"/>
        </w:trPr>
        <w:tc>
          <w:tcPr>
            <w:tcW w:w="851" w:type="dxa"/>
            <w:vMerge/>
          </w:tcPr>
          <w:p w14:paraId="7B86FF6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9" w:type="dxa"/>
            <w:vMerge/>
          </w:tcPr>
          <w:p w14:paraId="04FFF44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184" w:type="dxa"/>
            <w:vMerge/>
          </w:tcPr>
          <w:p w14:paraId="6A49DDC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86" w:type="dxa"/>
            <w:vMerge/>
          </w:tcPr>
          <w:p w14:paraId="2ECE847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229" w:type="dxa"/>
            <w:vMerge/>
          </w:tcPr>
          <w:p w14:paraId="43BCD3A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151" w:type="dxa"/>
          </w:tcPr>
          <w:p w14:paraId="3E0F676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i/>
                <w:sz w:val="18"/>
              </w:rPr>
            </w:pPr>
            <w:r w:rsidRPr="00E60A9C">
              <w:rPr>
                <w:rFonts w:ascii="Arial" w:eastAsia="Times New Roman" w:hAnsi="Arial"/>
                <w:i/>
                <w:sz w:val="18"/>
              </w:rPr>
              <w:t>powerClass</w:t>
            </w:r>
          </w:p>
        </w:tc>
        <w:tc>
          <w:tcPr>
            <w:tcW w:w="1609" w:type="dxa"/>
          </w:tcPr>
          <w:p w14:paraId="6FFEE92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i/>
                <w:sz w:val="18"/>
              </w:rPr>
            </w:pPr>
            <w:r w:rsidRPr="00E60A9C">
              <w:rPr>
                <w:rFonts w:ascii="Arial" w:eastAsia="Times New Roman" w:hAnsi="Arial"/>
                <w:i/>
                <w:sz w:val="18"/>
              </w:rPr>
              <w:t>BandCombination</w:t>
            </w:r>
          </w:p>
        </w:tc>
        <w:tc>
          <w:tcPr>
            <w:tcW w:w="1384" w:type="dxa"/>
            <w:vMerge/>
          </w:tcPr>
          <w:p w14:paraId="21437E5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384" w:type="dxa"/>
            <w:vMerge/>
          </w:tcPr>
          <w:p w14:paraId="3552D58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609" w:type="dxa"/>
            <w:vMerge/>
          </w:tcPr>
          <w:p w14:paraId="45D5800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862" w:type="dxa"/>
            <w:vMerge/>
          </w:tcPr>
          <w:p w14:paraId="2A9DF91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r>
      <w:tr w:rsidR="00E60A9C" w:rsidRPr="00E60A9C" w14:paraId="168C80C5" w14:textId="77777777" w:rsidTr="0089070B">
        <w:tc>
          <w:tcPr>
            <w:tcW w:w="851" w:type="dxa"/>
            <w:vMerge/>
          </w:tcPr>
          <w:p w14:paraId="3BAC2FB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9" w:type="dxa"/>
          </w:tcPr>
          <w:p w14:paraId="57B03888"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2-10</w:t>
            </w:r>
          </w:p>
        </w:tc>
        <w:tc>
          <w:tcPr>
            <w:tcW w:w="1184" w:type="dxa"/>
          </w:tcPr>
          <w:p w14:paraId="1E758F3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Multiple frequency band indication</w:t>
            </w:r>
          </w:p>
        </w:tc>
        <w:tc>
          <w:tcPr>
            <w:tcW w:w="1286" w:type="dxa"/>
          </w:tcPr>
          <w:p w14:paraId="1F03708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Multiple frequency band indication</w:t>
            </w:r>
          </w:p>
        </w:tc>
        <w:tc>
          <w:tcPr>
            <w:tcW w:w="1229" w:type="dxa"/>
          </w:tcPr>
          <w:p w14:paraId="6201563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151" w:type="dxa"/>
          </w:tcPr>
          <w:p w14:paraId="685668E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609" w:type="dxa"/>
          </w:tcPr>
          <w:p w14:paraId="5602703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84" w:type="dxa"/>
          </w:tcPr>
          <w:p w14:paraId="36976D6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384" w:type="dxa"/>
          </w:tcPr>
          <w:p w14:paraId="6A4C110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609" w:type="dxa"/>
          </w:tcPr>
          <w:p w14:paraId="033738B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Per UE capability</w:t>
            </w:r>
          </w:p>
        </w:tc>
        <w:tc>
          <w:tcPr>
            <w:tcW w:w="1862" w:type="dxa"/>
          </w:tcPr>
          <w:p w14:paraId="78880DF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3DC615AC" w14:textId="77777777" w:rsidTr="0089070B">
        <w:tc>
          <w:tcPr>
            <w:tcW w:w="851" w:type="dxa"/>
            <w:vMerge/>
          </w:tcPr>
          <w:p w14:paraId="2734CD6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9" w:type="dxa"/>
          </w:tcPr>
          <w:p w14:paraId="2FB9897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2-12</w:t>
            </w:r>
          </w:p>
        </w:tc>
        <w:tc>
          <w:tcPr>
            <w:tcW w:w="1184" w:type="dxa"/>
          </w:tcPr>
          <w:p w14:paraId="7BDC77C5"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Multiple NS/P-Max</w:t>
            </w:r>
          </w:p>
        </w:tc>
        <w:tc>
          <w:tcPr>
            <w:tcW w:w="1286" w:type="dxa"/>
          </w:tcPr>
          <w:p w14:paraId="53EBA7F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Multiple NS/P-Max</w:t>
            </w:r>
          </w:p>
        </w:tc>
        <w:tc>
          <w:tcPr>
            <w:tcW w:w="1229" w:type="dxa"/>
          </w:tcPr>
          <w:p w14:paraId="1297A20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151" w:type="dxa"/>
          </w:tcPr>
          <w:p w14:paraId="5E306EBD"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609" w:type="dxa"/>
          </w:tcPr>
          <w:p w14:paraId="0315345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n/a</w:t>
            </w:r>
          </w:p>
        </w:tc>
        <w:tc>
          <w:tcPr>
            <w:tcW w:w="1384" w:type="dxa"/>
          </w:tcPr>
          <w:p w14:paraId="5F857B6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384" w:type="dxa"/>
          </w:tcPr>
          <w:p w14:paraId="1EDB955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609" w:type="dxa"/>
          </w:tcPr>
          <w:p w14:paraId="68FD8F5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Per UE capability</w:t>
            </w:r>
          </w:p>
        </w:tc>
        <w:tc>
          <w:tcPr>
            <w:tcW w:w="1862" w:type="dxa"/>
          </w:tcPr>
          <w:p w14:paraId="6271AB5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without capability signalling</w:t>
            </w:r>
          </w:p>
        </w:tc>
      </w:tr>
      <w:tr w:rsidR="00E60A9C" w:rsidRPr="00E60A9C" w14:paraId="3D620719" w14:textId="77777777" w:rsidTr="0089070B">
        <w:tc>
          <w:tcPr>
            <w:tcW w:w="851" w:type="dxa"/>
            <w:vMerge/>
          </w:tcPr>
          <w:p w14:paraId="733A39C1"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9" w:type="dxa"/>
          </w:tcPr>
          <w:p w14:paraId="1BC68BE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2-16</w:t>
            </w:r>
          </w:p>
        </w:tc>
        <w:tc>
          <w:tcPr>
            <w:tcW w:w="1184" w:type="dxa"/>
          </w:tcPr>
          <w:p w14:paraId="2AF1572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PA architectures for intra-band EN-DC</w:t>
            </w:r>
          </w:p>
        </w:tc>
        <w:tc>
          <w:tcPr>
            <w:tcW w:w="1286" w:type="dxa"/>
          </w:tcPr>
          <w:p w14:paraId="07A9959E"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Support of dual PA</w:t>
            </w:r>
          </w:p>
        </w:tc>
        <w:tc>
          <w:tcPr>
            <w:tcW w:w="1229" w:type="dxa"/>
          </w:tcPr>
          <w:p w14:paraId="0FDD7A1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151" w:type="dxa"/>
          </w:tcPr>
          <w:p w14:paraId="3EA14D7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i/>
                <w:sz w:val="18"/>
              </w:rPr>
            </w:pPr>
            <w:r w:rsidRPr="00E60A9C">
              <w:rPr>
                <w:rFonts w:ascii="Arial" w:eastAsia="Times New Roman" w:hAnsi="Arial"/>
                <w:i/>
                <w:sz w:val="18"/>
              </w:rPr>
              <w:t>dualPA-Architecture</w:t>
            </w:r>
          </w:p>
        </w:tc>
        <w:tc>
          <w:tcPr>
            <w:tcW w:w="1609" w:type="dxa"/>
          </w:tcPr>
          <w:p w14:paraId="4D26E11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i/>
                <w:sz w:val="18"/>
              </w:rPr>
            </w:pPr>
            <w:r w:rsidRPr="00E60A9C">
              <w:rPr>
                <w:rFonts w:ascii="Arial" w:eastAsia="Times New Roman" w:hAnsi="Arial"/>
                <w:i/>
                <w:sz w:val="18"/>
              </w:rPr>
              <w:t>MRDC-Parameters</w:t>
            </w:r>
          </w:p>
        </w:tc>
        <w:tc>
          <w:tcPr>
            <w:tcW w:w="1384" w:type="dxa"/>
          </w:tcPr>
          <w:p w14:paraId="67972FE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384" w:type="dxa"/>
          </w:tcPr>
          <w:p w14:paraId="2E14F83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609" w:type="dxa"/>
          </w:tcPr>
          <w:p w14:paraId="7582831B"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Per band per band combination capability</w:t>
            </w:r>
          </w:p>
          <w:p w14:paraId="2AECA70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Single PA is default architecture</w:t>
            </w:r>
          </w:p>
          <w:p w14:paraId="53D1B4DA"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The following requirements are involved by this capability</w:t>
            </w:r>
          </w:p>
          <w:p w14:paraId="2F13F732"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w:t>
            </w:r>
            <w:r w:rsidRPr="00E60A9C">
              <w:rPr>
                <w:rFonts w:ascii="Arial" w:eastAsia="Times New Roman" w:hAnsi="Arial"/>
                <w:sz w:val="18"/>
              </w:rPr>
              <w:tab/>
              <w:t>A-MPR/MPR and MSD values for dual uplink. Whether two sets of requirements will be introduced in RAN4 can be further discussed for each specific band combination</w:t>
            </w:r>
          </w:p>
          <w:p w14:paraId="2BFF178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w:t>
            </w:r>
            <w:r w:rsidRPr="00E60A9C">
              <w:rPr>
                <w:rFonts w:ascii="Arial" w:eastAsia="Times New Roman" w:hAnsi="Arial"/>
                <w:sz w:val="18"/>
              </w:rPr>
              <w:tab/>
              <w:t>Switching time between LTE UL and NR UL in single switched UL operation mode for intra-band EN-DC</w:t>
            </w:r>
          </w:p>
        </w:tc>
        <w:tc>
          <w:tcPr>
            <w:tcW w:w="1862" w:type="dxa"/>
          </w:tcPr>
          <w:p w14:paraId="74355746"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to support either single or dual PA architectures with capability if UE supports intra-band EN-DC configuration in uplink. The capability signalling is absent if UE supports single PA architecture.</w:t>
            </w:r>
          </w:p>
        </w:tc>
      </w:tr>
      <w:tr w:rsidR="00E60A9C" w:rsidRPr="00E60A9C" w14:paraId="22254183" w14:textId="77777777" w:rsidTr="0089070B">
        <w:trPr>
          <w:trHeight w:val="2799"/>
        </w:trPr>
        <w:tc>
          <w:tcPr>
            <w:tcW w:w="851" w:type="dxa"/>
            <w:vMerge/>
          </w:tcPr>
          <w:p w14:paraId="74B72EDC"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709" w:type="dxa"/>
          </w:tcPr>
          <w:p w14:paraId="328D938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2-17</w:t>
            </w:r>
          </w:p>
        </w:tc>
        <w:tc>
          <w:tcPr>
            <w:tcW w:w="1184" w:type="dxa"/>
          </w:tcPr>
          <w:p w14:paraId="7C61613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PA architectures for intra-band UL CA</w:t>
            </w:r>
          </w:p>
        </w:tc>
        <w:tc>
          <w:tcPr>
            <w:tcW w:w="1286" w:type="dxa"/>
          </w:tcPr>
          <w:p w14:paraId="3EDB0CD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Support of dual PA</w:t>
            </w:r>
          </w:p>
        </w:tc>
        <w:tc>
          <w:tcPr>
            <w:tcW w:w="1229" w:type="dxa"/>
          </w:tcPr>
          <w:p w14:paraId="74876A6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p>
        </w:tc>
        <w:tc>
          <w:tcPr>
            <w:tcW w:w="1151" w:type="dxa"/>
          </w:tcPr>
          <w:p w14:paraId="0A096E9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i/>
                <w:sz w:val="18"/>
              </w:rPr>
            </w:pPr>
            <w:r w:rsidRPr="00E60A9C">
              <w:rPr>
                <w:rFonts w:ascii="Arial" w:eastAsia="Times New Roman" w:hAnsi="Arial"/>
                <w:i/>
                <w:sz w:val="18"/>
              </w:rPr>
              <w:t>dualPA-Architecture</w:t>
            </w:r>
          </w:p>
        </w:tc>
        <w:tc>
          <w:tcPr>
            <w:tcW w:w="1609" w:type="dxa"/>
          </w:tcPr>
          <w:p w14:paraId="26E3B4C7"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i/>
                <w:sz w:val="18"/>
              </w:rPr>
            </w:pPr>
            <w:r w:rsidRPr="00E60A9C">
              <w:rPr>
                <w:rFonts w:ascii="Arial" w:eastAsia="Times New Roman" w:hAnsi="Arial"/>
                <w:i/>
                <w:sz w:val="18"/>
              </w:rPr>
              <w:t>CA-ParametersNR-v1540</w:t>
            </w:r>
          </w:p>
        </w:tc>
        <w:tc>
          <w:tcPr>
            <w:tcW w:w="1384" w:type="dxa"/>
          </w:tcPr>
          <w:p w14:paraId="089AF2B0"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384" w:type="dxa"/>
          </w:tcPr>
          <w:p w14:paraId="3B5D0CD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No</w:t>
            </w:r>
          </w:p>
        </w:tc>
        <w:tc>
          <w:tcPr>
            <w:tcW w:w="1609" w:type="dxa"/>
          </w:tcPr>
          <w:p w14:paraId="7BC2C289"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Per band per band combination capability</w:t>
            </w:r>
          </w:p>
          <w:p w14:paraId="79ADFC9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Single PA is default architecture</w:t>
            </w:r>
          </w:p>
          <w:p w14:paraId="22BF8884"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The following requirements are involved by this capability</w:t>
            </w:r>
          </w:p>
          <w:p w14:paraId="28E50633"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w:t>
            </w:r>
            <w:r w:rsidRPr="00E60A9C">
              <w:rPr>
                <w:rFonts w:ascii="Arial" w:eastAsia="Times New Roman" w:hAnsi="Arial"/>
                <w:sz w:val="18"/>
              </w:rPr>
              <w:tab/>
              <w:t>A-MPR/MPR and MSD values for dual uplink. Whether two sets of requirements will be introduced in RAN4 can be further discussed for each specific band combination</w:t>
            </w:r>
          </w:p>
        </w:tc>
        <w:tc>
          <w:tcPr>
            <w:tcW w:w="1862" w:type="dxa"/>
          </w:tcPr>
          <w:p w14:paraId="752B889F" w14:textId="77777777" w:rsidR="00E60A9C" w:rsidRPr="00E60A9C" w:rsidRDefault="00E60A9C" w:rsidP="00E60A9C">
            <w:pPr>
              <w:keepNext/>
              <w:keepLines/>
              <w:overflowPunct w:val="0"/>
              <w:autoSpaceDE w:val="0"/>
              <w:autoSpaceDN w:val="0"/>
              <w:adjustRightInd w:val="0"/>
              <w:textAlignment w:val="baseline"/>
              <w:rPr>
                <w:rFonts w:ascii="Arial" w:eastAsia="Times New Roman" w:hAnsi="Arial"/>
                <w:sz w:val="18"/>
              </w:rPr>
            </w:pPr>
            <w:r w:rsidRPr="00E60A9C">
              <w:rPr>
                <w:rFonts w:ascii="Arial" w:eastAsia="Times New Roman" w:hAnsi="Arial"/>
                <w:sz w:val="18"/>
              </w:rPr>
              <w:t>Mandatory to support either single or dual PA architectures with capability if UE supports intra-band CA configuration in uplink. The capability signalling is absent if UE supports single PA architecture</w:t>
            </w:r>
          </w:p>
        </w:tc>
      </w:tr>
    </w:tbl>
    <w:p w14:paraId="1825BDD1" w14:textId="77777777" w:rsidR="00E60A9C" w:rsidRPr="00E60A9C" w:rsidRDefault="00E60A9C" w:rsidP="00341992">
      <w:pPr>
        <w:spacing w:afterLines="50" w:after="120"/>
        <w:jc w:val="both"/>
        <w:rPr>
          <w:rFonts w:eastAsia="MS Mincho"/>
          <w:sz w:val="22"/>
        </w:rPr>
      </w:pPr>
    </w:p>
    <w:sectPr w:rsidR="00E60A9C" w:rsidRPr="00E60A9C" w:rsidSect="00E60A9C">
      <w:pgSz w:w="15840" w:h="122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3051C" w14:textId="77777777" w:rsidR="003C3B7A" w:rsidRDefault="003C3B7A">
      <w:r>
        <w:separator/>
      </w:r>
    </w:p>
  </w:endnote>
  <w:endnote w:type="continuationSeparator" w:id="0">
    <w:p w14:paraId="0187DD8B" w14:textId="77777777" w:rsidR="003C3B7A" w:rsidRDefault="003C3B7A">
      <w:r>
        <w:continuationSeparator/>
      </w:r>
    </w:p>
  </w:endnote>
  <w:endnote w:type="continuationNotice" w:id="1">
    <w:p w14:paraId="55C9ABEC" w14:textId="77777777" w:rsidR="003C3B7A" w:rsidRDefault="003C3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493" w14:textId="49573770" w:rsidR="003C3B7A" w:rsidRPr="00000924" w:rsidRDefault="003C3B7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4468D0">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4468D0">
      <w:rPr>
        <w:rStyle w:val="af1"/>
        <w:rFonts w:eastAsia="MS Gothic"/>
        <w:noProof/>
      </w:rPr>
      <w:t>29</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ADFBC" w14:textId="77777777" w:rsidR="003C3B7A" w:rsidRDefault="003C3B7A">
      <w:r>
        <w:separator/>
      </w:r>
    </w:p>
  </w:footnote>
  <w:footnote w:type="continuationSeparator" w:id="0">
    <w:p w14:paraId="30E4690C" w14:textId="77777777" w:rsidR="003C3B7A" w:rsidRDefault="003C3B7A">
      <w:r>
        <w:continuationSeparator/>
      </w:r>
    </w:p>
  </w:footnote>
  <w:footnote w:type="continuationNotice" w:id="1">
    <w:p w14:paraId="73FDE234" w14:textId="77777777" w:rsidR="003C3B7A" w:rsidRDefault="003C3B7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576A3"/>
    <w:multiLevelType w:val="hybridMultilevel"/>
    <w:tmpl w:val="00447A0A"/>
    <w:lvl w:ilvl="0" w:tplc="0A20CE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226773"/>
    <w:multiLevelType w:val="hybridMultilevel"/>
    <w:tmpl w:val="34F0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5C25EFB"/>
    <w:multiLevelType w:val="hybridMultilevel"/>
    <w:tmpl w:val="9CD059D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7553F"/>
    <w:multiLevelType w:val="multilevel"/>
    <w:tmpl w:val="348890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D3025A"/>
    <w:multiLevelType w:val="hybridMultilevel"/>
    <w:tmpl w:val="F12CC472"/>
    <w:lvl w:ilvl="0" w:tplc="040B0001">
      <w:start w:val="1"/>
      <w:numFmt w:val="bullet"/>
      <w:lvlText w:val=""/>
      <w:lvlJc w:val="left"/>
      <w:pPr>
        <w:ind w:left="1140" w:hanging="360"/>
      </w:pPr>
      <w:rPr>
        <w:rFonts w:ascii="Symbol" w:hAnsi="Symbol" w:hint="default"/>
      </w:rPr>
    </w:lvl>
    <w:lvl w:ilvl="1" w:tplc="040B0003">
      <w:start w:val="1"/>
      <w:numFmt w:val="bullet"/>
      <w:lvlText w:val="o"/>
      <w:lvlJc w:val="left"/>
      <w:pPr>
        <w:ind w:left="1860" w:hanging="360"/>
      </w:pPr>
      <w:rPr>
        <w:rFonts w:ascii="Courier New" w:hAnsi="Courier New" w:cs="Courier New" w:hint="default"/>
      </w:rPr>
    </w:lvl>
    <w:lvl w:ilvl="2" w:tplc="040B0005">
      <w:start w:val="1"/>
      <w:numFmt w:val="bullet"/>
      <w:lvlText w:val=""/>
      <w:lvlJc w:val="left"/>
      <w:pPr>
        <w:ind w:left="2580" w:hanging="360"/>
      </w:pPr>
      <w:rPr>
        <w:rFonts w:ascii="Wingdings" w:hAnsi="Wingdings" w:hint="default"/>
      </w:rPr>
    </w:lvl>
    <w:lvl w:ilvl="3" w:tplc="040B0001">
      <w:start w:val="1"/>
      <w:numFmt w:val="bullet"/>
      <w:lvlText w:val=""/>
      <w:lvlJc w:val="left"/>
      <w:pPr>
        <w:ind w:left="3300" w:hanging="360"/>
      </w:pPr>
      <w:rPr>
        <w:rFonts w:ascii="Symbol" w:hAnsi="Symbol" w:hint="default"/>
      </w:rPr>
    </w:lvl>
    <w:lvl w:ilvl="4" w:tplc="040B0003">
      <w:start w:val="1"/>
      <w:numFmt w:val="bullet"/>
      <w:lvlText w:val="o"/>
      <w:lvlJc w:val="left"/>
      <w:pPr>
        <w:ind w:left="4020" w:hanging="360"/>
      </w:pPr>
      <w:rPr>
        <w:rFonts w:ascii="Courier New" w:hAnsi="Courier New" w:cs="Courier New" w:hint="default"/>
      </w:rPr>
    </w:lvl>
    <w:lvl w:ilvl="5" w:tplc="040B0005">
      <w:start w:val="1"/>
      <w:numFmt w:val="bullet"/>
      <w:lvlText w:val=""/>
      <w:lvlJc w:val="left"/>
      <w:pPr>
        <w:ind w:left="4740" w:hanging="360"/>
      </w:pPr>
      <w:rPr>
        <w:rFonts w:ascii="Wingdings" w:hAnsi="Wingdings" w:hint="default"/>
      </w:rPr>
    </w:lvl>
    <w:lvl w:ilvl="6" w:tplc="040B0001">
      <w:start w:val="1"/>
      <w:numFmt w:val="bullet"/>
      <w:lvlText w:val=""/>
      <w:lvlJc w:val="left"/>
      <w:pPr>
        <w:ind w:left="5460" w:hanging="360"/>
      </w:pPr>
      <w:rPr>
        <w:rFonts w:ascii="Symbol" w:hAnsi="Symbol" w:hint="default"/>
      </w:rPr>
    </w:lvl>
    <w:lvl w:ilvl="7" w:tplc="040B0003">
      <w:start w:val="1"/>
      <w:numFmt w:val="bullet"/>
      <w:lvlText w:val="o"/>
      <w:lvlJc w:val="left"/>
      <w:pPr>
        <w:ind w:left="6180" w:hanging="360"/>
      </w:pPr>
      <w:rPr>
        <w:rFonts w:ascii="Courier New" w:hAnsi="Courier New" w:cs="Courier New" w:hint="default"/>
      </w:rPr>
    </w:lvl>
    <w:lvl w:ilvl="8" w:tplc="040B0005">
      <w:start w:val="1"/>
      <w:numFmt w:val="bullet"/>
      <w:lvlText w:val=""/>
      <w:lvlJc w:val="left"/>
      <w:pPr>
        <w:ind w:left="6900" w:hanging="360"/>
      </w:pPr>
      <w:rPr>
        <w:rFonts w:ascii="Wingdings" w:hAnsi="Wingdings" w:hint="default"/>
      </w:rPr>
    </w:lvl>
  </w:abstractNum>
  <w:abstractNum w:abstractNumId="9" w15:restartNumberingAfterBreak="0">
    <w:nsid w:val="2ED268A5"/>
    <w:multiLevelType w:val="hybridMultilevel"/>
    <w:tmpl w:val="7B06103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0" w15:restartNumberingAfterBreak="0">
    <w:nsid w:val="33B13FA8"/>
    <w:multiLevelType w:val="hybridMultilevel"/>
    <w:tmpl w:val="9CC25D0A"/>
    <w:lvl w:ilvl="0" w:tplc="0409000F">
      <w:start w:val="1"/>
      <w:numFmt w:val="decimal"/>
      <w:lvlText w:val="%1."/>
      <w:lvlJc w:val="left"/>
      <w:pPr>
        <w:ind w:left="825" w:hanging="360"/>
      </w:pPr>
    </w:lvl>
    <w:lvl w:ilvl="1" w:tplc="04090019">
      <w:start w:val="1"/>
      <w:numFmt w:val="lowerLetter"/>
      <w:lvlText w:val="%2."/>
      <w:lvlJc w:val="left"/>
      <w:pPr>
        <w:ind w:left="1545" w:hanging="360"/>
      </w:pPr>
    </w:lvl>
    <w:lvl w:ilvl="2" w:tplc="0409001B">
      <w:start w:val="1"/>
      <w:numFmt w:val="lowerRoman"/>
      <w:lvlText w:val="%3."/>
      <w:lvlJc w:val="right"/>
      <w:pPr>
        <w:ind w:left="2265" w:hanging="180"/>
      </w:pPr>
    </w:lvl>
    <w:lvl w:ilvl="3" w:tplc="0409000F">
      <w:start w:val="1"/>
      <w:numFmt w:val="decimal"/>
      <w:lvlText w:val="%4."/>
      <w:lvlJc w:val="left"/>
      <w:pPr>
        <w:ind w:left="2985" w:hanging="360"/>
      </w:pPr>
    </w:lvl>
    <w:lvl w:ilvl="4" w:tplc="04090019">
      <w:start w:val="1"/>
      <w:numFmt w:val="lowerLetter"/>
      <w:lvlText w:val="%5."/>
      <w:lvlJc w:val="left"/>
      <w:pPr>
        <w:ind w:left="3705" w:hanging="360"/>
      </w:pPr>
    </w:lvl>
    <w:lvl w:ilvl="5" w:tplc="0409001B">
      <w:start w:val="1"/>
      <w:numFmt w:val="lowerRoman"/>
      <w:lvlText w:val="%6."/>
      <w:lvlJc w:val="right"/>
      <w:pPr>
        <w:ind w:left="4425" w:hanging="180"/>
      </w:pPr>
    </w:lvl>
    <w:lvl w:ilvl="6" w:tplc="0409000F">
      <w:start w:val="1"/>
      <w:numFmt w:val="decimal"/>
      <w:lvlText w:val="%7."/>
      <w:lvlJc w:val="left"/>
      <w:pPr>
        <w:ind w:left="5145" w:hanging="360"/>
      </w:pPr>
    </w:lvl>
    <w:lvl w:ilvl="7" w:tplc="04090019">
      <w:start w:val="1"/>
      <w:numFmt w:val="lowerLetter"/>
      <w:lvlText w:val="%8."/>
      <w:lvlJc w:val="left"/>
      <w:pPr>
        <w:ind w:left="5865" w:hanging="360"/>
      </w:pPr>
    </w:lvl>
    <w:lvl w:ilvl="8" w:tplc="0409001B">
      <w:start w:val="1"/>
      <w:numFmt w:val="lowerRoman"/>
      <w:lvlText w:val="%9."/>
      <w:lvlJc w:val="right"/>
      <w:pPr>
        <w:ind w:left="6585" w:hanging="180"/>
      </w:pPr>
    </w:lvl>
  </w:abstractNum>
  <w:abstractNum w:abstractNumId="11" w15:restartNumberingAfterBreak="0">
    <w:nsid w:val="34433006"/>
    <w:multiLevelType w:val="hybridMultilevel"/>
    <w:tmpl w:val="ECB80282"/>
    <w:lvl w:ilvl="0" w:tplc="C3E6F364">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8E2289"/>
    <w:multiLevelType w:val="hybridMultilevel"/>
    <w:tmpl w:val="3EC6B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155EDF"/>
    <w:multiLevelType w:val="hybridMultilevel"/>
    <w:tmpl w:val="91A84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F32C3F"/>
    <w:multiLevelType w:val="hybridMultilevel"/>
    <w:tmpl w:val="5E54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40428A"/>
    <w:multiLevelType w:val="multilevel"/>
    <w:tmpl w:val="4240428A"/>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42D777D4"/>
    <w:multiLevelType w:val="hybridMultilevel"/>
    <w:tmpl w:val="9EE078F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4B80A72"/>
    <w:multiLevelType w:val="hybridMultilevel"/>
    <w:tmpl w:val="125E0BE6"/>
    <w:lvl w:ilvl="0" w:tplc="D2C20DCE">
      <w:numFmt w:val="bullet"/>
      <w:lvlText w:val=""/>
      <w:lvlJc w:val="left"/>
      <w:pPr>
        <w:ind w:left="1220" w:hanging="360"/>
      </w:pPr>
      <w:rPr>
        <w:rFonts w:ascii="Wingdings" w:eastAsia="MS PGothic" w:hAnsi="Wingdings" w:cs="Calibri" w:hint="default"/>
      </w:rPr>
    </w:lvl>
    <w:lvl w:ilvl="1" w:tplc="0409000B">
      <w:start w:val="1"/>
      <w:numFmt w:val="bullet"/>
      <w:lvlText w:val=""/>
      <w:lvlJc w:val="left"/>
      <w:pPr>
        <w:ind w:left="1700" w:hanging="420"/>
      </w:pPr>
      <w:rPr>
        <w:rFonts w:ascii="Wingdings" w:hAnsi="Wingdings" w:hint="default"/>
      </w:rPr>
    </w:lvl>
    <w:lvl w:ilvl="2" w:tplc="0409000D">
      <w:start w:val="1"/>
      <w:numFmt w:val="bullet"/>
      <w:lvlText w:val=""/>
      <w:lvlJc w:val="left"/>
      <w:pPr>
        <w:ind w:left="2120" w:hanging="420"/>
      </w:pPr>
      <w:rPr>
        <w:rFonts w:ascii="Wingdings" w:hAnsi="Wingdings" w:hint="default"/>
      </w:rPr>
    </w:lvl>
    <w:lvl w:ilvl="3" w:tplc="04090001">
      <w:start w:val="1"/>
      <w:numFmt w:val="bullet"/>
      <w:lvlText w:val=""/>
      <w:lvlJc w:val="left"/>
      <w:pPr>
        <w:ind w:left="2540" w:hanging="420"/>
      </w:pPr>
      <w:rPr>
        <w:rFonts w:ascii="Wingdings" w:hAnsi="Wingdings" w:hint="default"/>
      </w:rPr>
    </w:lvl>
    <w:lvl w:ilvl="4" w:tplc="0409000B">
      <w:start w:val="1"/>
      <w:numFmt w:val="bullet"/>
      <w:lvlText w:val=""/>
      <w:lvlJc w:val="left"/>
      <w:pPr>
        <w:ind w:left="2960" w:hanging="420"/>
      </w:pPr>
      <w:rPr>
        <w:rFonts w:ascii="Wingdings" w:hAnsi="Wingdings" w:hint="default"/>
      </w:rPr>
    </w:lvl>
    <w:lvl w:ilvl="5" w:tplc="0409000D">
      <w:start w:val="1"/>
      <w:numFmt w:val="bullet"/>
      <w:lvlText w:val=""/>
      <w:lvlJc w:val="left"/>
      <w:pPr>
        <w:ind w:left="3380" w:hanging="420"/>
      </w:pPr>
      <w:rPr>
        <w:rFonts w:ascii="Wingdings" w:hAnsi="Wingdings" w:hint="default"/>
      </w:rPr>
    </w:lvl>
    <w:lvl w:ilvl="6" w:tplc="04090001">
      <w:start w:val="1"/>
      <w:numFmt w:val="bullet"/>
      <w:lvlText w:val=""/>
      <w:lvlJc w:val="left"/>
      <w:pPr>
        <w:ind w:left="3800" w:hanging="420"/>
      </w:pPr>
      <w:rPr>
        <w:rFonts w:ascii="Wingdings" w:hAnsi="Wingdings" w:hint="default"/>
      </w:rPr>
    </w:lvl>
    <w:lvl w:ilvl="7" w:tplc="0409000B">
      <w:start w:val="1"/>
      <w:numFmt w:val="bullet"/>
      <w:lvlText w:val=""/>
      <w:lvlJc w:val="left"/>
      <w:pPr>
        <w:ind w:left="4220" w:hanging="420"/>
      </w:pPr>
      <w:rPr>
        <w:rFonts w:ascii="Wingdings" w:hAnsi="Wingdings" w:hint="default"/>
      </w:rPr>
    </w:lvl>
    <w:lvl w:ilvl="8" w:tplc="0409000D">
      <w:start w:val="1"/>
      <w:numFmt w:val="bullet"/>
      <w:lvlText w:val=""/>
      <w:lvlJc w:val="left"/>
      <w:pPr>
        <w:ind w:left="4640" w:hanging="420"/>
      </w:pPr>
      <w:rPr>
        <w:rFonts w:ascii="Wingdings" w:hAnsi="Wingdings" w:hint="default"/>
      </w:rPr>
    </w:lvl>
  </w:abstractNum>
  <w:abstractNum w:abstractNumId="22" w15:restartNumberingAfterBreak="0">
    <w:nsid w:val="462250B7"/>
    <w:multiLevelType w:val="multilevel"/>
    <w:tmpl w:val="348890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101505E"/>
    <w:multiLevelType w:val="hybridMultilevel"/>
    <w:tmpl w:val="19E23192"/>
    <w:lvl w:ilvl="0" w:tplc="901E4CC4">
      <w:start w:val="1"/>
      <w:numFmt w:val="decimal"/>
      <w:pStyle w:val="Observation"/>
      <w:lvlText w:val="Observation %1"/>
      <w:lvlJc w:val="left"/>
      <w:pPr>
        <w:ind w:left="360" w:hanging="360"/>
      </w:pPr>
      <w:rPr>
        <w:rFonts w:hint="default"/>
      </w:rPr>
    </w:lvl>
    <w:lvl w:ilvl="1" w:tplc="0AC8D6B4">
      <w:start w:val="1"/>
      <w:numFmt w:val="decimal"/>
      <w:lvlText w:val="%2."/>
      <w:lvlJc w:val="left"/>
      <w:pPr>
        <w:ind w:left="1680" w:hanging="60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4271638"/>
    <w:multiLevelType w:val="hybridMultilevel"/>
    <w:tmpl w:val="1242D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21C612F"/>
    <w:multiLevelType w:val="hybridMultilevel"/>
    <w:tmpl w:val="2A544F78"/>
    <w:lvl w:ilvl="0" w:tplc="59E2BC42">
      <w:start w:val="2"/>
      <w:numFmt w:val="decimal"/>
      <w:lvlText w:val="%1."/>
      <w:lvlJc w:val="left"/>
      <w:pPr>
        <w:ind w:left="150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0"/>
  </w:num>
  <w:num w:numId="4">
    <w:abstractNumId w:val="26"/>
  </w:num>
  <w:num w:numId="5">
    <w:abstractNumId w:val="2"/>
  </w:num>
  <w:num w:numId="6">
    <w:abstractNumId w:val="7"/>
  </w:num>
  <w:num w:numId="7">
    <w:abstractNumId w:val="13"/>
  </w:num>
  <w:num w:numId="8">
    <w:abstractNumId w:val="4"/>
  </w:num>
  <w:num w:numId="9">
    <w:abstractNumId w:val="19"/>
  </w:num>
  <w:num w:numId="10">
    <w:abstractNumId w:val="29"/>
  </w:num>
  <w:num w:numId="11">
    <w:abstractNumId w:val="31"/>
  </w:num>
  <w:num w:numId="12">
    <w:abstractNumId w:val="17"/>
  </w:num>
  <w:num w:numId="13">
    <w:abstractNumId w:val="23"/>
  </w:num>
  <w:num w:numId="14">
    <w:abstractNumId w:val="14"/>
  </w:num>
  <w:num w:numId="15">
    <w:abstractNumId w:val="6"/>
  </w:num>
  <w:num w:numId="16">
    <w:abstractNumId w:val="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3"/>
    <w:lvlOverride w:ilvl="0"/>
    <w:lvlOverride w:ilvl="1">
      <w:startOverride w:val="1"/>
    </w:lvlOverride>
    <w:lvlOverride w:ilvl="2"/>
    <w:lvlOverride w:ilvl="3"/>
    <w:lvlOverride w:ilvl="4"/>
    <w:lvlOverride w:ilvl="5"/>
    <w:lvlOverride w:ilvl="6"/>
    <w:lvlOverride w:ilvl="7"/>
    <w:lvlOverride w:ilvl="8"/>
  </w:num>
  <w:num w:numId="23">
    <w:abstractNumId w:val="11"/>
  </w:num>
  <w:num w:numId="24">
    <w:abstractNumId w:val="28"/>
  </w:num>
  <w:num w:numId="25">
    <w:abstractNumId w:val="1"/>
  </w:num>
  <w:num w:numId="26">
    <w:abstractNumId w:val="21"/>
  </w:num>
  <w:num w:numId="27">
    <w:abstractNumId w:val="18"/>
  </w:num>
  <w:num w:numId="28">
    <w:abstractNumId w:val="1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1"/>
  </w:num>
  <w:num w:numId="32">
    <w:abstractNumId w:val="25"/>
  </w:num>
  <w:num w:numId="33">
    <w:abstractNumId w:val="9"/>
  </w:num>
  <w:num w:numId="34">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C6A"/>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0C8A"/>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41E"/>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77C"/>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3EC"/>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48"/>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BD"/>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EAA"/>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5F6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298"/>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992"/>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291"/>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B7A"/>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5D82"/>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D0"/>
    <w:rsid w:val="004468E9"/>
    <w:rsid w:val="00446C70"/>
    <w:rsid w:val="004471A7"/>
    <w:rsid w:val="004474E5"/>
    <w:rsid w:val="00447F2A"/>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338"/>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1EA3"/>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785"/>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BB5"/>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6E67"/>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C2"/>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32A"/>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8C0"/>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829"/>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6FFB"/>
    <w:rsid w:val="006C7011"/>
    <w:rsid w:val="006C70F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2CF"/>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925"/>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97A"/>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3F97"/>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93"/>
    <w:rsid w:val="008006ED"/>
    <w:rsid w:val="00800969"/>
    <w:rsid w:val="00800CEC"/>
    <w:rsid w:val="00800DE0"/>
    <w:rsid w:val="00800F6F"/>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3B"/>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BEE"/>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0B"/>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11F"/>
    <w:rsid w:val="008B51D6"/>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7C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7B8"/>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FF"/>
    <w:rsid w:val="00923742"/>
    <w:rsid w:val="00923827"/>
    <w:rsid w:val="009239C9"/>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34"/>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8DF"/>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BDC"/>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432"/>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AF"/>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41"/>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BDC"/>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442"/>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49B"/>
    <w:rsid w:val="00AA68B1"/>
    <w:rsid w:val="00AA6E1E"/>
    <w:rsid w:val="00AA7124"/>
    <w:rsid w:val="00AA726F"/>
    <w:rsid w:val="00AA74D6"/>
    <w:rsid w:val="00AA75A6"/>
    <w:rsid w:val="00AA784D"/>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0FDD"/>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1C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772"/>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1FB9"/>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3BFB"/>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BF7"/>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13"/>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24F"/>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A9C"/>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0C3"/>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67"/>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23"/>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046"/>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85C"/>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23"/>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823"/>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9D4"/>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04FCC"/>
    <w:rPr>
      <w:rFonts w:ascii="Times New Roman" w:eastAsia="MS Gothic"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pPr>
      <w:widowControl w:val="0"/>
    </w:pPr>
    <w:rPr>
      <w:rFonts w:ascii="Arial" w:eastAsia="MS Mincho" w:hAnsi="Arial"/>
      <w:b/>
      <w:noProof/>
      <w:sz w:val="18"/>
      <w:lang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pPr>
      <w:shd w:val="clear" w:color="auto" w:fill="000080"/>
    </w:pPr>
    <w:rPr>
      <w:rFonts w:ascii="Tahoma" w:hAnsi="Tahoma"/>
    </w:rPr>
  </w:style>
  <w:style w:type="paragraph" w:styleId="a8">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style>
  <w:style w:type="paragraph" w:styleId="a9">
    <w:name w:val="List"/>
    <w:basedOn w:val="a0"/>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a">
    <w:name w:val="footnote reference"/>
    <w:semiHidden/>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c">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pPr>
      <w:tabs>
        <w:tab w:val="clear" w:pos="360"/>
      </w:tabs>
      <w:spacing w:after="60"/>
      <w:ind w:left="1080" w:hanging="357"/>
    </w:pPr>
    <w:rPr>
      <w:rFonts w:ascii="Arial" w:hAnsi="Arial"/>
    </w:rPr>
  </w:style>
  <w:style w:type="paragraph" w:styleId="ad">
    <w:name w:val="List Bullet"/>
    <w:basedOn w:val="a0"/>
    <w:autoRedefine/>
    <w:pPr>
      <w:tabs>
        <w:tab w:val="num" w:pos="360"/>
      </w:tabs>
      <w:ind w:left="360" w:hanging="360"/>
    </w:pPr>
  </w:style>
  <w:style w:type="paragraph" w:customStyle="1" w:styleId="ListBulletLast">
    <w:name w:val="List Bullet Last"/>
    <w:aliases w:val="lbl"/>
    <w:basedOn w:val="ad"/>
    <w:next w:val="a4"/>
    <w:pPr>
      <w:tabs>
        <w:tab w:val="clear" w:pos="360"/>
      </w:tabs>
      <w:spacing w:after="240"/>
      <w:ind w:left="714" w:hanging="357"/>
    </w:pPr>
    <w:rPr>
      <w:rFonts w:ascii="Arial" w:hAnsi="Arial"/>
    </w:rPr>
  </w:style>
  <w:style w:type="paragraph" w:styleId="ae">
    <w:name w:val="footer"/>
    <w:basedOn w:val="a0"/>
    <w:pPr>
      <w:tabs>
        <w:tab w:val="center" w:pos="4536"/>
        <w:tab w:val="right" w:pos="9072"/>
      </w:tabs>
      <w:spacing w:before="120"/>
    </w:pPr>
    <w:rPr>
      <w:lang w:val="de-DE"/>
    </w:rPr>
  </w:style>
  <w:style w:type="paragraph" w:styleId="22">
    <w:name w:val="List 2"/>
    <w:basedOn w:val="a9"/>
    <w:pPr>
      <w:ind w:left="851"/>
    </w:pPr>
  </w:style>
  <w:style w:type="paragraph" w:customStyle="1" w:styleId="TitleText">
    <w:name w:val="Title Text"/>
    <w:basedOn w:val="a0"/>
    <w:next w:val="a0"/>
    <w:pPr>
      <w:spacing w:after="220"/>
    </w:pPr>
    <w:rPr>
      <w:rFonts w:ascii="Arial" w:hAnsi="Arial"/>
      <w:b/>
      <w:sz w:val="22"/>
    </w:rPr>
  </w:style>
  <w:style w:type="paragraph" w:styleId="af">
    <w:name w:val="Title"/>
    <w:basedOn w:val="a0"/>
    <w:qFormat/>
    <w:pPr>
      <w:jc w:val="center"/>
    </w:pPr>
    <w:rPr>
      <w:rFonts w:ascii="Arial" w:hAnsi="Arial"/>
      <w:b/>
    </w:rPr>
  </w:style>
  <w:style w:type="paragraph" w:styleId="af0">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1">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uiPriority w:val="99"/>
    <w:rPr>
      <w:rFonts w:eastAsia="Times New Roman"/>
      <w:noProof w:val="0"/>
      <w:kern w:val="2"/>
      <w:sz w:val="16"/>
      <w:lang w:val="en-GB"/>
    </w:rPr>
  </w:style>
  <w:style w:type="paragraph" w:styleId="af5">
    <w:name w:val="Balloon Text"/>
    <w:basedOn w:val="a0"/>
    <w:link w:val="Char0"/>
    <w:rPr>
      <w:rFonts w:ascii="Arial" w:hAnsi="Arial"/>
      <w:sz w:val="18"/>
    </w:rPr>
  </w:style>
  <w:style w:type="character" w:customStyle="1" w:styleId="Char0">
    <w:name w:val="풍선 도움말 텍스트 Char"/>
    <w:link w:val="af5"/>
    <w:rsid w:val="00DC57EE"/>
    <w:rPr>
      <w:rFonts w:ascii="Arial" w:eastAsia="MS Gothic" w:hAnsi="Arial"/>
      <w:sz w:val="18"/>
      <w:lang w:val="en-GB"/>
    </w:rPr>
  </w:style>
  <w:style w:type="paragraph" w:customStyle="1" w:styleId="Reference">
    <w:name w:val="Reference"/>
    <w:basedOn w:val="a0"/>
    <w:pPr>
      <w:widowControl w:val="0"/>
      <w:ind w:left="283" w:hanging="283"/>
      <w:jc w:val="both"/>
    </w:pPr>
    <w:rPr>
      <w:rFonts w:ascii="Arial" w:eastAsia="MS Mincho" w:hAnsi="Arial"/>
      <w:kern w:val="2"/>
      <w:sz w:val="21"/>
      <w:lang w:val="de-DE"/>
    </w:rPr>
  </w:style>
  <w:style w:type="paragraph" w:styleId="af6">
    <w:name w:val="annotation text"/>
    <w:basedOn w:val="a0"/>
    <w:link w:val="Char1"/>
    <w:rPr>
      <w:sz w:val="20"/>
    </w:rPr>
  </w:style>
  <w:style w:type="character" w:customStyle="1" w:styleId="Char1">
    <w:name w:val="메모 텍스트 Char"/>
    <w:basedOn w:val="a1"/>
    <w:link w:val="af6"/>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Pr>
      <w:b/>
      <w:sz w:val="24"/>
    </w:rPr>
  </w:style>
  <w:style w:type="character" w:customStyle="1" w:styleId="Char2">
    <w:name w:val="메모 주제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列出段落,?? ??,?????,????,Lista1,列出段落1,中等深浅网格 1 - 着色 21,列表段落,¥¡¡¡¡ì¬º¥¹¥È¶ÎÂä,ÁÐ³ö¶ÎÂä,列表段落1,—ño’i—Ž,¥ê¥¹¥È¶ÎÂä,1st level - Bullet List Paragraph,Lettre d'introduction,Paragrafo elenco,Normal bullet 2,Bullet list,List Paragraph,목록단락"/>
    <w:basedOn w:val="a0"/>
    <w:link w:val="Char3"/>
    <w:uiPriority w:val="34"/>
    <w:qFormat/>
    <w:rsid w:val="002D136A"/>
    <w:pPr>
      <w:ind w:leftChars="400" w:left="840"/>
    </w:pPr>
  </w:style>
  <w:style w:type="character" w:customStyle="1" w:styleId="Char3">
    <w:name w:val="목록 단락 Char"/>
    <w:aliases w:val="- Bullets Char,列出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각주/미주 머리글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맺음말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2"/>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13"/>
      </w:numPr>
      <w:ind w:left="1701" w:hanging="1701"/>
    </w:pPr>
    <w:rPr>
      <w:lang w:eastAsia="ja-JP"/>
    </w:rPr>
  </w:style>
  <w:style w:type="character" w:customStyle="1" w:styleId="B2Char">
    <w:name w:val="B2 Char"/>
    <w:link w:val="B2"/>
    <w:qFormat/>
    <w:rsid w:val="00007CF6"/>
    <w:rPr>
      <w:rFonts w:ascii="Times New Roman" w:eastAsia="MS Gothic" w:hAnsi="Times New Roman"/>
      <w:sz w:val="24"/>
      <w:lang w:val="en-GB"/>
    </w:rPr>
  </w:style>
  <w:style w:type="character" w:customStyle="1" w:styleId="B3Char2">
    <w:name w:val="B3 Char2"/>
    <w:link w:val="B3"/>
    <w:qFormat/>
    <w:rsid w:val="00007CF6"/>
    <w:rPr>
      <w:rFonts w:ascii="Times New Roman" w:eastAsia="MS Gothic"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MS Mincho" w:hAnsi="Arial"/>
      <w:sz w:val="18"/>
      <w:lang w:val="en-GB" w:eastAsia="en-US"/>
    </w:rPr>
  </w:style>
  <w:style w:type="character" w:styleId="aff0">
    <w:name w:val="Strong"/>
    <w:basedOn w:val="a1"/>
    <w:uiPriority w:val="22"/>
    <w:qFormat/>
    <w:rsid w:val="00BA0FDD"/>
    <w:rPr>
      <w:b/>
      <w:bCs/>
    </w:rPr>
  </w:style>
  <w:style w:type="character" w:styleId="aff1">
    <w:name w:val="Emphasis"/>
    <w:basedOn w:val="a1"/>
    <w:uiPriority w:val="20"/>
    <w:qFormat/>
    <w:rsid w:val="00BA0FDD"/>
    <w:rPr>
      <w:i/>
      <w:iCs/>
    </w:rPr>
  </w:style>
  <w:style w:type="paragraph" w:customStyle="1" w:styleId="a00">
    <w:name w:val="a0"/>
    <w:basedOn w:val="a0"/>
    <w:uiPriority w:val="99"/>
    <w:rsid w:val="00BA0FDD"/>
    <w:pPr>
      <w:spacing w:before="100" w:beforeAutospacing="1" w:after="100" w:afterAutospacing="1"/>
    </w:pPr>
    <w:rPr>
      <w:rFonts w:ascii="Calibri" w:eastAsia="SimSu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6378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6684872">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29529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316178">
      <w:bodyDiv w:val="1"/>
      <w:marLeft w:val="0"/>
      <w:marRight w:val="0"/>
      <w:marTop w:val="0"/>
      <w:marBottom w:val="0"/>
      <w:divBdr>
        <w:top w:val="none" w:sz="0" w:space="0" w:color="auto"/>
        <w:left w:val="none" w:sz="0" w:space="0" w:color="auto"/>
        <w:bottom w:val="none" w:sz="0" w:space="0" w:color="auto"/>
        <w:right w:val="none" w:sz="0" w:space="0" w:color="auto"/>
      </w:divBdr>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695280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3881059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198472002">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606637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79458778">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666627">
      <w:bodyDiv w:val="1"/>
      <w:marLeft w:val="0"/>
      <w:marRight w:val="0"/>
      <w:marTop w:val="0"/>
      <w:marBottom w:val="0"/>
      <w:divBdr>
        <w:top w:val="none" w:sz="0" w:space="0" w:color="auto"/>
        <w:left w:val="none" w:sz="0" w:space="0" w:color="auto"/>
        <w:bottom w:val="none" w:sz="0" w:space="0" w:color="auto"/>
        <w:right w:val="none" w:sz="0" w:space="0" w:color="auto"/>
      </w:divBdr>
    </w:div>
    <w:div w:id="34362930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7006407">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79910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126124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10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91519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09043896">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1914725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692731089">
      <w:bodyDiv w:val="1"/>
      <w:marLeft w:val="0"/>
      <w:marRight w:val="0"/>
      <w:marTop w:val="0"/>
      <w:marBottom w:val="0"/>
      <w:divBdr>
        <w:top w:val="none" w:sz="0" w:space="0" w:color="auto"/>
        <w:left w:val="none" w:sz="0" w:space="0" w:color="auto"/>
        <w:bottom w:val="none" w:sz="0" w:space="0" w:color="auto"/>
        <w:right w:val="none" w:sz="0" w:space="0" w:color="auto"/>
      </w:divBdr>
    </w:div>
    <w:div w:id="7056381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95208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851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6275592">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789504">
      <w:bodyDiv w:val="1"/>
      <w:marLeft w:val="0"/>
      <w:marRight w:val="0"/>
      <w:marTop w:val="0"/>
      <w:marBottom w:val="0"/>
      <w:divBdr>
        <w:top w:val="none" w:sz="0" w:space="0" w:color="auto"/>
        <w:left w:val="none" w:sz="0" w:space="0" w:color="auto"/>
        <w:bottom w:val="none" w:sz="0" w:space="0" w:color="auto"/>
        <w:right w:val="none" w:sz="0" w:space="0" w:color="auto"/>
      </w:divBdr>
    </w:div>
    <w:div w:id="962736524">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6207638">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094668">
      <w:bodyDiv w:val="1"/>
      <w:marLeft w:val="0"/>
      <w:marRight w:val="0"/>
      <w:marTop w:val="0"/>
      <w:marBottom w:val="0"/>
      <w:divBdr>
        <w:top w:val="none" w:sz="0" w:space="0" w:color="auto"/>
        <w:left w:val="none" w:sz="0" w:space="0" w:color="auto"/>
        <w:bottom w:val="none" w:sz="0" w:space="0" w:color="auto"/>
        <w:right w:val="none" w:sz="0" w:space="0" w:color="auto"/>
      </w:divBdr>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614765">
      <w:bodyDiv w:val="1"/>
      <w:marLeft w:val="0"/>
      <w:marRight w:val="0"/>
      <w:marTop w:val="0"/>
      <w:marBottom w:val="0"/>
      <w:divBdr>
        <w:top w:val="none" w:sz="0" w:space="0" w:color="auto"/>
        <w:left w:val="none" w:sz="0" w:space="0" w:color="auto"/>
        <w:bottom w:val="none" w:sz="0" w:space="0" w:color="auto"/>
        <w:right w:val="none" w:sz="0" w:space="0" w:color="auto"/>
      </w:divBdr>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80353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8522431">
      <w:bodyDiv w:val="1"/>
      <w:marLeft w:val="0"/>
      <w:marRight w:val="0"/>
      <w:marTop w:val="0"/>
      <w:marBottom w:val="0"/>
      <w:divBdr>
        <w:top w:val="none" w:sz="0" w:space="0" w:color="auto"/>
        <w:left w:val="none" w:sz="0" w:space="0" w:color="auto"/>
        <w:bottom w:val="none" w:sz="0" w:space="0" w:color="auto"/>
        <w:right w:val="none" w:sz="0" w:space="0" w:color="auto"/>
      </w:divBdr>
    </w:div>
    <w:div w:id="11052313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11280">
      <w:bodyDiv w:val="1"/>
      <w:marLeft w:val="0"/>
      <w:marRight w:val="0"/>
      <w:marTop w:val="0"/>
      <w:marBottom w:val="0"/>
      <w:divBdr>
        <w:top w:val="none" w:sz="0" w:space="0" w:color="auto"/>
        <w:left w:val="none" w:sz="0" w:space="0" w:color="auto"/>
        <w:bottom w:val="none" w:sz="0" w:space="0" w:color="auto"/>
        <w:right w:val="none" w:sz="0" w:space="0" w:color="auto"/>
      </w:divBdr>
    </w:div>
    <w:div w:id="1145202546">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54079">
      <w:bodyDiv w:val="1"/>
      <w:marLeft w:val="0"/>
      <w:marRight w:val="0"/>
      <w:marTop w:val="0"/>
      <w:marBottom w:val="0"/>
      <w:divBdr>
        <w:top w:val="none" w:sz="0" w:space="0" w:color="auto"/>
        <w:left w:val="none" w:sz="0" w:space="0" w:color="auto"/>
        <w:bottom w:val="none" w:sz="0" w:space="0" w:color="auto"/>
        <w:right w:val="none" w:sz="0" w:space="0" w:color="auto"/>
      </w:divBdr>
    </w:div>
    <w:div w:id="1243107716">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615488">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07934297">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04035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2533212">
      <w:bodyDiv w:val="1"/>
      <w:marLeft w:val="0"/>
      <w:marRight w:val="0"/>
      <w:marTop w:val="0"/>
      <w:marBottom w:val="0"/>
      <w:divBdr>
        <w:top w:val="none" w:sz="0" w:space="0" w:color="auto"/>
        <w:left w:val="none" w:sz="0" w:space="0" w:color="auto"/>
        <w:bottom w:val="none" w:sz="0" w:space="0" w:color="auto"/>
        <w:right w:val="none" w:sz="0" w:space="0" w:color="auto"/>
      </w:divBdr>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69989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45081300">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318257">
      <w:bodyDiv w:val="1"/>
      <w:marLeft w:val="0"/>
      <w:marRight w:val="0"/>
      <w:marTop w:val="0"/>
      <w:marBottom w:val="0"/>
      <w:divBdr>
        <w:top w:val="none" w:sz="0" w:space="0" w:color="auto"/>
        <w:left w:val="none" w:sz="0" w:space="0" w:color="auto"/>
        <w:bottom w:val="none" w:sz="0" w:space="0" w:color="auto"/>
        <w:right w:val="none" w:sz="0" w:space="0" w:color="auto"/>
      </w:divBdr>
    </w:div>
    <w:div w:id="14558282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813802">
      <w:bodyDiv w:val="1"/>
      <w:marLeft w:val="0"/>
      <w:marRight w:val="0"/>
      <w:marTop w:val="0"/>
      <w:marBottom w:val="0"/>
      <w:divBdr>
        <w:top w:val="none" w:sz="0" w:space="0" w:color="auto"/>
        <w:left w:val="none" w:sz="0" w:space="0" w:color="auto"/>
        <w:bottom w:val="none" w:sz="0" w:space="0" w:color="auto"/>
        <w:right w:val="none" w:sz="0" w:space="0" w:color="auto"/>
      </w:divBdr>
    </w:div>
    <w:div w:id="1472096995">
      <w:bodyDiv w:val="1"/>
      <w:marLeft w:val="0"/>
      <w:marRight w:val="0"/>
      <w:marTop w:val="0"/>
      <w:marBottom w:val="0"/>
      <w:divBdr>
        <w:top w:val="none" w:sz="0" w:space="0" w:color="auto"/>
        <w:left w:val="none" w:sz="0" w:space="0" w:color="auto"/>
        <w:bottom w:val="none" w:sz="0" w:space="0" w:color="auto"/>
        <w:right w:val="none" w:sz="0" w:space="0" w:color="auto"/>
      </w:divBdr>
    </w:div>
    <w:div w:id="148203939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918">
      <w:bodyDiv w:val="1"/>
      <w:marLeft w:val="0"/>
      <w:marRight w:val="0"/>
      <w:marTop w:val="0"/>
      <w:marBottom w:val="0"/>
      <w:divBdr>
        <w:top w:val="none" w:sz="0" w:space="0" w:color="auto"/>
        <w:left w:val="none" w:sz="0" w:space="0" w:color="auto"/>
        <w:bottom w:val="none" w:sz="0" w:space="0" w:color="auto"/>
        <w:right w:val="none" w:sz="0" w:space="0" w:color="auto"/>
      </w:divBdr>
    </w:div>
    <w:div w:id="1495419061">
      <w:bodyDiv w:val="1"/>
      <w:marLeft w:val="0"/>
      <w:marRight w:val="0"/>
      <w:marTop w:val="0"/>
      <w:marBottom w:val="0"/>
      <w:divBdr>
        <w:top w:val="none" w:sz="0" w:space="0" w:color="auto"/>
        <w:left w:val="none" w:sz="0" w:space="0" w:color="auto"/>
        <w:bottom w:val="none" w:sz="0" w:space="0" w:color="auto"/>
        <w:right w:val="none" w:sz="0" w:space="0" w:color="auto"/>
      </w:divBdr>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409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470100">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02167376">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0980945">
      <w:bodyDiv w:val="1"/>
      <w:marLeft w:val="0"/>
      <w:marRight w:val="0"/>
      <w:marTop w:val="0"/>
      <w:marBottom w:val="0"/>
      <w:divBdr>
        <w:top w:val="none" w:sz="0" w:space="0" w:color="auto"/>
        <w:left w:val="none" w:sz="0" w:space="0" w:color="auto"/>
        <w:bottom w:val="none" w:sz="0" w:space="0" w:color="auto"/>
        <w:right w:val="none" w:sz="0" w:space="0" w:color="auto"/>
      </w:divBdr>
    </w:div>
    <w:div w:id="1749301395">
      <w:bodyDiv w:val="1"/>
      <w:marLeft w:val="0"/>
      <w:marRight w:val="0"/>
      <w:marTop w:val="0"/>
      <w:marBottom w:val="0"/>
      <w:divBdr>
        <w:top w:val="none" w:sz="0" w:space="0" w:color="auto"/>
        <w:left w:val="none" w:sz="0" w:space="0" w:color="auto"/>
        <w:bottom w:val="none" w:sz="0" w:space="0" w:color="auto"/>
        <w:right w:val="none" w:sz="0" w:space="0" w:color="auto"/>
      </w:divBdr>
    </w:div>
    <w:div w:id="17738932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3079645">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539958">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622111">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338363">
      <w:bodyDiv w:val="1"/>
      <w:marLeft w:val="0"/>
      <w:marRight w:val="0"/>
      <w:marTop w:val="0"/>
      <w:marBottom w:val="0"/>
      <w:divBdr>
        <w:top w:val="none" w:sz="0" w:space="0" w:color="auto"/>
        <w:left w:val="none" w:sz="0" w:space="0" w:color="auto"/>
        <w:bottom w:val="none" w:sz="0" w:space="0" w:color="auto"/>
        <w:right w:val="none" w:sz="0" w:space="0" w:color="auto"/>
      </w:divBdr>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3293330">
      <w:bodyDiv w:val="1"/>
      <w:marLeft w:val="0"/>
      <w:marRight w:val="0"/>
      <w:marTop w:val="0"/>
      <w:marBottom w:val="0"/>
      <w:divBdr>
        <w:top w:val="none" w:sz="0" w:space="0" w:color="auto"/>
        <w:left w:val="none" w:sz="0" w:space="0" w:color="auto"/>
        <w:bottom w:val="none" w:sz="0" w:space="0" w:color="auto"/>
        <w:right w:val="none" w:sz="0" w:space="0" w:color="auto"/>
      </w:divBdr>
    </w:div>
    <w:div w:id="1994332770">
      <w:bodyDiv w:val="1"/>
      <w:marLeft w:val="0"/>
      <w:marRight w:val="0"/>
      <w:marTop w:val="0"/>
      <w:marBottom w:val="0"/>
      <w:divBdr>
        <w:top w:val="none" w:sz="0" w:space="0" w:color="auto"/>
        <w:left w:val="none" w:sz="0" w:space="0" w:color="auto"/>
        <w:bottom w:val="none" w:sz="0" w:space="0" w:color="auto"/>
        <w:right w:val="none" w:sz="0" w:space="0" w:color="auto"/>
      </w:divBdr>
    </w:div>
    <w:div w:id="2012221932">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2472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08251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3582377">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8137843">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367987">
      <w:bodyDiv w:val="1"/>
      <w:marLeft w:val="0"/>
      <w:marRight w:val="0"/>
      <w:marTop w:val="0"/>
      <w:marBottom w:val="0"/>
      <w:divBdr>
        <w:top w:val="none" w:sz="0" w:space="0" w:color="auto"/>
        <w:left w:val="none" w:sz="0" w:space="0" w:color="auto"/>
        <w:bottom w:val="none" w:sz="0" w:space="0" w:color="auto"/>
        <w:right w:val="none" w:sz="0" w:space="0" w:color="auto"/>
      </w:divBdr>
    </w:div>
    <w:div w:id="214546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041EB-C4FD-4F12-8717-48ABBF766804}">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1B70B02-B38B-4D1D-B3A6-659CEF09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3223</Words>
  <Characters>16914</Characters>
  <Application>Microsoft Office Word</Application>
  <DocSecurity>0</DocSecurity>
  <Lines>140</Lines>
  <Paragraphs>40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Chungwoo Hwang</dc:creator>
  <cp:lastModifiedBy>황정우(기술전략 2팀)</cp:lastModifiedBy>
  <cp:revision>2</cp:revision>
  <cp:lastPrinted>2017-08-09T04:40:00Z</cp:lastPrinted>
  <dcterms:created xsi:type="dcterms:W3CDTF">2020-06-22T06:10:00Z</dcterms:created>
  <dcterms:modified xsi:type="dcterms:W3CDTF">2020-06-22T06:10:00Z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